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445DEAE1"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9E7793">
        <w:rPr>
          <w:rFonts w:ascii="Rockwell" w:hAnsi="Rockwell"/>
          <w:b/>
          <w:color w:val="0F243E" w:themeColor="text2" w:themeShade="80"/>
          <w:sz w:val="46"/>
          <w:szCs w:val="46"/>
        </w:rPr>
        <w:t>Law</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7117D280" w14:textId="2644EAAC" w:rsidR="000F7F65" w:rsidRPr="000F7F65" w:rsidRDefault="000F7F65" w:rsidP="000F7F65">
      <w:pPr>
        <w:spacing w:after="120" w:line="240" w:lineRule="auto"/>
        <w:rPr>
          <w:rFonts w:cstheme="minorHAnsi"/>
        </w:rPr>
      </w:pPr>
      <w:r w:rsidRPr="000F7F65">
        <w:rPr>
          <w:rFonts w:cstheme="minorHAnsi"/>
        </w:rPr>
        <w:t xml:space="preserve">These are the main search tools for </w:t>
      </w:r>
      <w:r w:rsidR="00591CB8">
        <w:rPr>
          <w:rFonts w:cstheme="minorHAnsi"/>
        </w:rPr>
        <w:t>finding law cases, legislation,</w:t>
      </w:r>
      <w:r w:rsidR="00591CB8" w:rsidRPr="00205751">
        <w:rPr>
          <w:rFonts w:cstheme="minorHAnsi"/>
        </w:rPr>
        <w:t xml:space="preserve"> journal articles,</w:t>
      </w:r>
      <w:r w:rsidR="00591CB8">
        <w:rPr>
          <w:rFonts w:cstheme="minorHAnsi"/>
        </w:rPr>
        <w:t xml:space="preserve"> books and theses. I</w:t>
      </w:r>
      <w:r w:rsidR="00591CB8" w:rsidRPr="00205751">
        <w:rPr>
          <w:rFonts w:cstheme="minorHAnsi"/>
        </w:rPr>
        <w:t>t is recommended that you</w:t>
      </w:r>
      <w:r w:rsidR="00591CB8">
        <w:rPr>
          <w:rFonts w:cstheme="minorHAnsi"/>
        </w:rPr>
        <w:t xml:space="preserve"> use several search tools rather than relying on any one database</w:t>
      </w:r>
      <w:r w:rsidR="00591CB8" w:rsidRPr="00205751">
        <w:rPr>
          <w:rFonts w:cstheme="minorHAnsi"/>
        </w:rPr>
        <w:t xml:space="preserve">.  This will help ensure that your searches are comprehensive, </w:t>
      </w:r>
      <w:r w:rsidR="00591CB8">
        <w:rPr>
          <w:rFonts w:cstheme="minorHAnsi"/>
        </w:rPr>
        <w:t xml:space="preserve">both </w:t>
      </w:r>
      <w:r w:rsidR="00591CB8" w:rsidRPr="00205751">
        <w:rPr>
          <w:rFonts w:cstheme="minorHAnsi"/>
        </w:rPr>
        <w:t xml:space="preserve">in </w:t>
      </w:r>
      <w:r w:rsidR="00591CB8">
        <w:rPr>
          <w:rFonts w:cstheme="minorHAnsi"/>
        </w:rPr>
        <w:t xml:space="preserve">terms of </w:t>
      </w:r>
      <w:r w:rsidR="00591CB8" w:rsidRPr="00205751">
        <w:rPr>
          <w:rFonts w:cstheme="minorHAnsi"/>
        </w:rPr>
        <w:t xml:space="preserve">covering all literature available to you and </w:t>
      </w:r>
      <w:r w:rsidR="00591CB8">
        <w:rPr>
          <w:rFonts w:cstheme="minorHAnsi"/>
        </w:rPr>
        <w:t xml:space="preserve">in terms of </w:t>
      </w:r>
      <w:r w:rsidR="00591CB8" w:rsidRPr="00205751">
        <w:rPr>
          <w:rFonts w:cstheme="minorHAnsi"/>
        </w:rPr>
        <w:t>creating complex searches with the most appropriate search terms</w:t>
      </w:r>
      <w:r w:rsidR="00591CB8">
        <w:rPr>
          <w:rFonts w:cstheme="minorHAnsi"/>
        </w:rPr>
        <w:t>,</w:t>
      </w:r>
      <w:r w:rsidR="00591CB8" w:rsidRPr="00205751">
        <w:rPr>
          <w:rFonts w:cstheme="minorHAnsi"/>
        </w:rPr>
        <w:t xml:space="preserve"> to</w:t>
      </w:r>
      <w:r w:rsidR="00591CB8">
        <w:rPr>
          <w:rFonts w:cstheme="minorHAnsi"/>
        </w:rPr>
        <w:t xml:space="preserve"> get the most relevant sources.</w:t>
      </w:r>
    </w:p>
    <w:p w14:paraId="59DDFAA9" w14:textId="76876B03" w:rsidR="00591CB8" w:rsidRDefault="000F7F65" w:rsidP="000F7F65">
      <w:pPr>
        <w:spacing w:after="120" w:line="240" w:lineRule="auto"/>
        <w:rPr>
          <w:rFonts w:cstheme="minorHAnsi"/>
        </w:rPr>
      </w:pPr>
      <w:r w:rsidRPr="000F7F65">
        <w:rPr>
          <w:rFonts w:cstheme="minorHAnsi"/>
        </w:rPr>
        <w:t xml:space="preserve">Here are some of the relative merits of the main search tools, </w:t>
      </w:r>
      <w:r w:rsidR="00591CB8">
        <w:rPr>
          <w:rFonts w:cstheme="minorHAnsi"/>
        </w:rPr>
        <w:t>accessible via:</w:t>
      </w:r>
    </w:p>
    <w:p w14:paraId="6F3F9D6E" w14:textId="4CB0B27E" w:rsidR="00591CB8" w:rsidRDefault="006A1582" w:rsidP="000F7F65">
      <w:pPr>
        <w:spacing w:after="120" w:line="240" w:lineRule="auto"/>
        <w:rPr>
          <w:rFonts w:cstheme="minorHAnsi"/>
        </w:rPr>
      </w:pPr>
      <w:hyperlink r:id="rId13" w:history="1">
        <w:r w:rsidR="00591CB8" w:rsidRPr="00B12BE6">
          <w:rPr>
            <w:rStyle w:val="Hyperlink"/>
            <w:rFonts w:cstheme="minorHAnsi"/>
          </w:rPr>
          <w:t>https://www.wlv.ac.uk/lib/subjects/law/</w:t>
        </w:r>
      </w:hyperlink>
    </w:p>
    <w:p w14:paraId="4B1F6862" w14:textId="77777777" w:rsidR="00591CB8" w:rsidRPr="000F7F65" w:rsidRDefault="00591CB8" w:rsidP="000F7F65">
      <w:pPr>
        <w:spacing w:after="120" w:line="240" w:lineRule="auto"/>
        <w:rPr>
          <w:rFonts w:cstheme="minorHAnsi"/>
        </w:rPr>
      </w:pPr>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609"/>
        <w:gridCol w:w="3467"/>
        <w:gridCol w:w="2609"/>
        <w:gridCol w:w="1169"/>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6A1582" w:rsidP="00E11106">
            <w:pPr>
              <w:spacing w:line="240" w:lineRule="auto"/>
              <w:rPr>
                <w:rFonts w:cstheme="minorHAnsi"/>
              </w:rPr>
            </w:pPr>
            <w:hyperlink r:id="rId14" w:history="1">
              <w:r w:rsidR="00E11106" w:rsidRPr="00CD4206">
                <w:rPr>
                  <w:rStyle w:val="Hyperlink"/>
                  <w:rFonts w:cstheme="minorHAnsi"/>
                </w:rPr>
                <w:t>www.wlv.ac.uk/lib/search</w:t>
              </w:r>
            </w:hyperlink>
            <w:r w:rsidR="00E11106"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proofErr w:type="spellStart"/>
            <w:r>
              <w:rPr>
                <w:rFonts w:cstheme="minorHAnsi"/>
              </w:rPr>
              <w:t>RefW</w:t>
            </w:r>
            <w:r w:rsidRPr="00785BD6">
              <w:rPr>
                <w:rFonts w:cstheme="minorHAnsi"/>
              </w:rPr>
              <w:t>orks</w:t>
            </w:r>
            <w:proofErr w:type="spellEnd"/>
          </w:p>
          <w:p w14:paraId="40B0764F" w14:textId="77777777" w:rsidR="00E11106" w:rsidRPr="00785BD6" w:rsidRDefault="007C37F4" w:rsidP="00E11106">
            <w:pPr>
              <w:spacing w:line="240" w:lineRule="auto"/>
              <w:rPr>
                <w:rFonts w:cstheme="minorHAnsi"/>
              </w:rPr>
            </w:pPr>
            <w:r>
              <w:rPr>
                <w:rFonts w:cstheme="minorHAnsi"/>
              </w:rPr>
              <w:t>Account</w:t>
            </w:r>
          </w:p>
        </w:tc>
      </w:tr>
      <w:tr w:rsidR="00591CB8" w:rsidRPr="00205751" w14:paraId="69547298" w14:textId="77777777" w:rsidTr="000F7F65">
        <w:tc>
          <w:tcPr>
            <w:tcW w:w="1324" w:type="pct"/>
          </w:tcPr>
          <w:p w14:paraId="79897447" w14:textId="77777777" w:rsidR="00591CB8" w:rsidRPr="00FA16A3" w:rsidRDefault="00591CB8" w:rsidP="007308E1">
            <w:pPr>
              <w:rPr>
                <w:rFonts w:cstheme="minorHAnsi"/>
                <w:b/>
              </w:rPr>
            </w:pPr>
            <w:r w:rsidRPr="00FA16A3">
              <w:rPr>
                <w:rFonts w:cstheme="minorHAnsi"/>
                <w:b/>
              </w:rPr>
              <w:t>Lexis Library</w:t>
            </w:r>
          </w:p>
          <w:p w14:paraId="26F92287" w14:textId="724AB10E" w:rsidR="00591CB8" w:rsidRPr="00205751" w:rsidRDefault="00591CB8" w:rsidP="00591CB8">
            <w:pPr>
              <w:rPr>
                <w:rFonts w:cstheme="minorHAnsi"/>
              </w:rPr>
            </w:pPr>
          </w:p>
        </w:tc>
        <w:tc>
          <w:tcPr>
            <w:tcW w:w="1759" w:type="pct"/>
          </w:tcPr>
          <w:p w14:paraId="3EAE4D04" w14:textId="35AC9C93" w:rsidR="00591CB8" w:rsidRPr="00205751" w:rsidRDefault="00B25060" w:rsidP="000F7F65">
            <w:pPr>
              <w:spacing w:line="240" w:lineRule="auto"/>
              <w:rPr>
                <w:rFonts w:cstheme="minorHAnsi"/>
              </w:rPr>
            </w:pPr>
            <w:r>
              <w:rPr>
                <w:rFonts w:cstheme="minorHAnsi"/>
              </w:rPr>
              <w:t xml:space="preserve">Access to </w:t>
            </w:r>
            <w:r w:rsidRPr="00FA16A3">
              <w:rPr>
                <w:rFonts w:cstheme="minorHAnsi"/>
              </w:rPr>
              <w:t>full text legal resour</w:t>
            </w:r>
            <w:r>
              <w:rPr>
                <w:rFonts w:cstheme="minorHAnsi"/>
              </w:rPr>
              <w:t xml:space="preserve">ces, </w:t>
            </w:r>
            <w:r w:rsidRPr="00FA16A3">
              <w:rPr>
                <w:rFonts w:cstheme="minorHAnsi"/>
              </w:rPr>
              <w:t>UK Cases and Legislation, Hal</w:t>
            </w:r>
            <w:r>
              <w:rPr>
                <w:rFonts w:cstheme="minorHAnsi"/>
              </w:rPr>
              <w:t>sbury's Laws of England, Forms, Precedents &amp;</w:t>
            </w:r>
            <w:r w:rsidRPr="00FA16A3">
              <w:rPr>
                <w:rFonts w:cstheme="minorHAnsi"/>
              </w:rPr>
              <w:t xml:space="preserve"> UK Journals.</w:t>
            </w:r>
          </w:p>
        </w:tc>
        <w:tc>
          <w:tcPr>
            <w:tcW w:w="1324" w:type="pct"/>
          </w:tcPr>
          <w:p w14:paraId="3FCD603B" w14:textId="6F721E1A" w:rsidR="00591CB8" w:rsidRPr="00205751" w:rsidRDefault="00B25060" w:rsidP="000F7F65">
            <w:pPr>
              <w:spacing w:line="240" w:lineRule="auto"/>
              <w:rPr>
                <w:rFonts w:cstheme="minorHAnsi"/>
              </w:rPr>
            </w:pPr>
            <w:r w:rsidRPr="00FA16A3">
              <w:rPr>
                <w:rFonts w:cstheme="minorHAnsi"/>
              </w:rPr>
              <w:t>Keyword search box and can limit by format or date. Can combine search terms.</w:t>
            </w:r>
          </w:p>
        </w:tc>
        <w:tc>
          <w:tcPr>
            <w:tcW w:w="593" w:type="pct"/>
            <w:shd w:val="clear" w:color="auto" w:fill="FFFFFF" w:themeFill="background1"/>
          </w:tcPr>
          <w:p w14:paraId="37526DBE" w14:textId="77777777" w:rsidR="00B25060" w:rsidRDefault="00B25060" w:rsidP="000F7F65">
            <w:pPr>
              <w:spacing w:line="240" w:lineRule="auto"/>
              <w:rPr>
                <w:rFonts w:cstheme="minorHAnsi"/>
              </w:rPr>
            </w:pPr>
            <w:r w:rsidRPr="00FA16A3">
              <w:rPr>
                <w:rFonts w:cstheme="minorHAnsi"/>
              </w:rPr>
              <w:t xml:space="preserve">Personal account </w:t>
            </w:r>
          </w:p>
          <w:p w14:paraId="449D806B" w14:textId="7048D635" w:rsidR="00591CB8" w:rsidRPr="00785BD6" w:rsidRDefault="00B25060" w:rsidP="000F7F65">
            <w:pPr>
              <w:spacing w:line="240" w:lineRule="auto"/>
              <w:rPr>
                <w:rFonts w:cstheme="minorHAnsi"/>
              </w:rPr>
            </w:pPr>
            <w:r w:rsidRPr="00FA16A3">
              <w:rPr>
                <w:rFonts w:cstheme="minorHAnsi"/>
              </w:rPr>
              <w:t>Search alerts</w:t>
            </w:r>
          </w:p>
        </w:tc>
      </w:tr>
      <w:tr w:rsidR="00591CB8" w:rsidRPr="00205751" w14:paraId="6AE7063A" w14:textId="77777777" w:rsidTr="000F7F65">
        <w:tc>
          <w:tcPr>
            <w:tcW w:w="1324" w:type="pct"/>
          </w:tcPr>
          <w:p w14:paraId="3218F7FC" w14:textId="77777777" w:rsidR="00B25060" w:rsidRPr="00FA16A3" w:rsidRDefault="00B25060" w:rsidP="00B25060">
            <w:pPr>
              <w:rPr>
                <w:rFonts w:cstheme="minorHAnsi"/>
                <w:b/>
              </w:rPr>
            </w:pPr>
            <w:r w:rsidRPr="00FA16A3">
              <w:rPr>
                <w:rFonts w:cstheme="minorHAnsi"/>
                <w:b/>
              </w:rPr>
              <w:t>Westlaw UK</w:t>
            </w:r>
          </w:p>
          <w:p w14:paraId="5C101C97" w14:textId="77777777" w:rsidR="00591CB8" w:rsidRPr="00E547E0" w:rsidRDefault="00591CB8" w:rsidP="00B25060">
            <w:pPr>
              <w:rPr>
                <w:rFonts w:cstheme="minorHAnsi"/>
              </w:rPr>
            </w:pPr>
          </w:p>
        </w:tc>
        <w:tc>
          <w:tcPr>
            <w:tcW w:w="1759" w:type="pct"/>
          </w:tcPr>
          <w:p w14:paraId="7125C423" w14:textId="1B473B4B" w:rsidR="00591CB8" w:rsidRPr="00E547E0" w:rsidRDefault="00E73D16" w:rsidP="00E73D16">
            <w:pPr>
              <w:spacing w:line="240" w:lineRule="auto"/>
              <w:rPr>
                <w:rFonts w:cstheme="minorHAnsi"/>
              </w:rPr>
            </w:pPr>
            <w:r w:rsidRPr="00FA16A3">
              <w:rPr>
                <w:rFonts w:cstheme="minorHAnsi"/>
                <w:lang w:val="en-US"/>
              </w:rPr>
              <w:t>Database of case law, legislation, news, journals, commentary, Current Awareness alerts and EU legal materials.</w:t>
            </w:r>
          </w:p>
        </w:tc>
        <w:tc>
          <w:tcPr>
            <w:tcW w:w="1324" w:type="pct"/>
          </w:tcPr>
          <w:p w14:paraId="50E27983" w14:textId="605B0A1D" w:rsidR="00591CB8" w:rsidRPr="00E547E0" w:rsidRDefault="00B25060" w:rsidP="00860D29">
            <w:pPr>
              <w:spacing w:line="240" w:lineRule="auto"/>
              <w:rPr>
                <w:rFonts w:cstheme="minorHAnsi"/>
              </w:rPr>
            </w:pPr>
            <w:r w:rsidRPr="00FA16A3">
              <w:rPr>
                <w:rFonts w:cstheme="minorHAnsi"/>
                <w:lang w:val="en-US"/>
              </w:rPr>
              <w:t>Database of case law, legislation, news, journals, commentary, Current Awareness alerts and EU legal materials.</w:t>
            </w:r>
          </w:p>
        </w:tc>
        <w:tc>
          <w:tcPr>
            <w:tcW w:w="593" w:type="pct"/>
            <w:shd w:val="clear" w:color="auto" w:fill="FFFFFF" w:themeFill="background1"/>
          </w:tcPr>
          <w:p w14:paraId="2B5FBE05" w14:textId="77777777" w:rsidR="00591CB8" w:rsidRDefault="00591CB8" w:rsidP="00A11E97">
            <w:pPr>
              <w:rPr>
                <w:rFonts w:cstheme="minorHAnsi"/>
              </w:rPr>
            </w:pPr>
            <w:r w:rsidRPr="00785BD6">
              <w:rPr>
                <w:rFonts w:cstheme="minorHAnsi"/>
              </w:rPr>
              <w:t>Personal account</w:t>
            </w:r>
          </w:p>
          <w:p w14:paraId="20940DED" w14:textId="13098476" w:rsidR="00591CB8" w:rsidRPr="00E547E0" w:rsidRDefault="00591CB8" w:rsidP="00A11E97">
            <w:pPr>
              <w:spacing w:line="240" w:lineRule="auto"/>
              <w:rPr>
                <w:rFonts w:cstheme="minorHAnsi"/>
              </w:rPr>
            </w:pPr>
            <w:r w:rsidRPr="00E547E0">
              <w:rPr>
                <w:rFonts w:cstheme="minorHAnsi"/>
              </w:rPr>
              <w:t>Search alerts</w:t>
            </w:r>
          </w:p>
        </w:tc>
      </w:tr>
      <w:tr w:rsidR="00591CB8" w:rsidRPr="00205751" w14:paraId="037C7943" w14:textId="77777777" w:rsidTr="000F7F65">
        <w:tc>
          <w:tcPr>
            <w:tcW w:w="1324" w:type="pct"/>
          </w:tcPr>
          <w:p w14:paraId="3BE6C3B3" w14:textId="48CE8F0B" w:rsidR="00591CB8" w:rsidRPr="00F9599B" w:rsidRDefault="00B25060" w:rsidP="00B25060">
            <w:pPr>
              <w:spacing w:line="240" w:lineRule="auto"/>
              <w:rPr>
                <w:rFonts w:cstheme="minorHAnsi"/>
                <w:b/>
              </w:rPr>
            </w:pPr>
            <w:proofErr w:type="spellStart"/>
            <w:r w:rsidRPr="00FA16A3">
              <w:rPr>
                <w:rFonts w:cstheme="minorHAnsi"/>
                <w:b/>
              </w:rPr>
              <w:t>HeinOnline</w:t>
            </w:r>
            <w:proofErr w:type="spellEnd"/>
          </w:p>
        </w:tc>
        <w:tc>
          <w:tcPr>
            <w:tcW w:w="1759" w:type="pct"/>
          </w:tcPr>
          <w:p w14:paraId="1EEE81C5" w14:textId="42281245" w:rsidR="00591CB8" w:rsidRPr="00F9599B" w:rsidRDefault="00E73D16" w:rsidP="00A11E97">
            <w:pPr>
              <w:spacing w:line="240" w:lineRule="auto"/>
              <w:rPr>
                <w:rFonts w:cstheme="minorHAnsi"/>
              </w:rPr>
            </w:pPr>
            <w:r w:rsidRPr="00FA16A3">
              <w:rPr>
                <w:rFonts w:cstheme="minorHAnsi"/>
              </w:rPr>
              <w:t>Collection of law and law-related material covering mainly US law research.  Contains 888 full text journals from first issues, with increasing current and UK coverage.</w:t>
            </w:r>
          </w:p>
        </w:tc>
        <w:tc>
          <w:tcPr>
            <w:tcW w:w="1324" w:type="pct"/>
          </w:tcPr>
          <w:p w14:paraId="3EF530F1" w14:textId="7AADCE99" w:rsidR="00591CB8" w:rsidRPr="00E547E0" w:rsidRDefault="00591CB8" w:rsidP="00A11E97">
            <w:pPr>
              <w:spacing w:line="240" w:lineRule="auto"/>
              <w:rPr>
                <w:rFonts w:cstheme="minorHAnsi"/>
              </w:rPr>
            </w:pPr>
            <w:r w:rsidRPr="005473FD">
              <w:t>Document search, Author search, Affiliation search and Advanced search.</w:t>
            </w:r>
          </w:p>
        </w:tc>
        <w:tc>
          <w:tcPr>
            <w:tcW w:w="593" w:type="pct"/>
            <w:shd w:val="clear" w:color="auto" w:fill="FFFFFF" w:themeFill="background1"/>
          </w:tcPr>
          <w:p w14:paraId="5F63673D" w14:textId="78DBC6EE" w:rsidR="00591CB8" w:rsidRPr="00E547E0" w:rsidRDefault="00591CB8" w:rsidP="00A11E97">
            <w:pPr>
              <w:spacing w:line="240" w:lineRule="auto"/>
              <w:rPr>
                <w:rFonts w:cstheme="minorHAnsi"/>
              </w:rPr>
            </w:pPr>
            <w:proofErr w:type="spellStart"/>
            <w:r w:rsidRPr="005473FD">
              <w:t>RefWorks</w:t>
            </w:r>
            <w:proofErr w:type="spellEnd"/>
          </w:p>
        </w:tc>
      </w:tr>
      <w:tr w:rsidR="00F12FB5" w14:paraId="5AB914E0" w14:textId="77777777" w:rsidTr="00F12FB5">
        <w:tc>
          <w:tcPr>
            <w:tcW w:w="1324" w:type="pct"/>
          </w:tcPr>
          <w:p w14:paraId="36F1C0AA" w14:textId="77777777" w:rsidR="00F12FB5" w:rsidRDefault="00F12FB5">
            <w:pPr>
              <w:rPr>
                <w:rFonts w:cstheme="minorHAnsi"/>
                <w:b/>
              </w:rPr>
            </w:pPr>
            <w:r>
              <w:rPr>
                <w:rFonts w:cstheme="minorHAnsi"/>
                <w:b/>
              </w:rPr>
              <w:t>Box of Broadcasts</w:t>
            </w:r>
          </w:p>
          <w:p w14:paraId="737908F4" w14:textId="77777777" w:rsidR="00F12FB5" w:rsidRDefault="00F12FB5">
            <w:pPr>
              <w:rPr>
                <w:rFonts w:ascii="Calibri" w:hAnsi="Calibri" w:cs="Times New Roman"/>
                <w:b/>
              </w:rPr>
            </w:pPr>
          </w:p>
          <w:p w14:paraId="0559789F" w14:textId="77777777" w:rsidR="00F12FB5" w:rsidRDefault="00F12FB5">
            <w:pPr>
              <w:rPr>
                <w:rFonts w:ascii="Calibri" w:hAnsi="Calibri" w:cs="Times New Roman"/>
                <w:b/>
              </w:rPr>
            </w:pPr>
          </w:p>
          <w:p w14:paraId="54752887" w14:textId="77777777" w:rsidR="00F12FB5" w:rsidRDefault="00F12FB5">
            <w:pPr>
              <w:spacing w:line="256" w:lineRule="auto"/>
              <w:rPr>
                <w:rFonts w:ascii="Calibri" w:hAnsi="Calibri" w:cs="Times New Roman"/>
                <w:b/>
              </w:rPr>
            </w:pPr>
          </w:p>
        </w:tc>
        <w:tc>
          <w:tcPr>
            <w:tcW w:w="1759" w:type="pct"/>
            <w:hideMark/>
          </w:tcPr>
          <w:p w14:paraId="2DA0A8CC" w14:textId="77777777" w:rsidR="00F12FB5" w:rsidRDefault="00F12FB5">
            <w:pPr>
              <w:spacing w:line="240" w:lineRule="auto"/>
              <w:rPr>
                <w:rFonts w:ascii="Calibri" w:hAnsi="Calibri" w:cs="Times New Roman"/>
              </w:rPr>
            </w:pPr>
            <w:r>
              <w:rPr>
                <w:color w:val="212529"/>
              </w:rPr>
              <w:t>Box of Broadcasts (</w:t>
            </w:r>
            <w:proofErr w:type="spellStart"/>
            <w:r>
              <w:rPr>
                <w:color w:val="212529"/>
              </w:rPr>
              <w:t>BoB</w:t>
            </w:r>
            <w:proofErr w:type="spellEnd"/>
            <w:r>
              <w:rPr>
                <w:color w:val="212529"/>
              </w:rPr>
              <w:t>) is an on demand TV and radio service for education. It allows you to record programmes from over 65 free-to-air channels, and search an extensive archive.</w:t>
            </w:r>
          </w:p>
        </w:tc>
        <w:tc>
          <w:tcPr>
            <w:tcW w:w="1324" w:type="pct"/>
            <w:hideMark/>
          </w:tcPr>
          <w:p w14:paraId="07786737" w14:textId="77777777" w:rsidR="00F12FB5" w:rsidRDefault="00F12FB5">
            <w:pPr>
              <w:spacing w:line="240" w:lineRule="auto"/>
              <w:rPr>
                <w:rFonts w:cstheme="minorHAnsi"/>
              </w:rPr>
            </w:pPr>
            <w:r>
              <w:rPr>
                <w:rFonts w:cstheme="minorHAnsi"/>
              </w:rPr>
              <w:t>Advanced search allows complex combinations of subject terms &amp; limits</w:t>
            </w:r>
          </w:p>
        </w:tc>
        <w:tc>
          <w:tcPr>
            <w:tcW w:w="593" w:type="pct"/>
          </w:tcPr>
          <w:p w14:paraId="311C58F0" w14:textId="77777777" w:rsidR="00F12FB5" w:rsidRDefault="00F12FB5">
            <w:pPr>
              <w:rPr>
                <w:rFonts w:cstheme="minorHAnsi"/>
              </w:rPr>
            </w:pPr>
            <w:r>
              <w:rPr>
                <w:rFonts w:cstheme="minorHAnsi"/>
              </w:rPr>
              <w:t>Personal account</w:t>
            </w:r>
          </w:p>
          <w:p w14:paraId="278CAC42" w14:textId="77777777" w:rsidR="00F12FB5" w:rsidRDefault="00F12FB5">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bookmarkStart w:id="0" w:name="_GoBack"/>
      <w:bookmarkEnd w:id="0"/>
    </w:p>
    <w:p w14:paraId="3CB7C026" w14:textId="77777777" w:rsidR="00E11106" w:rsidRPr="00DB35C5" w:rsidRDefault="00E11106" w:rsidP="00C63808">
      <w:pPr>
        <w:spacing w:after="120" w:line="240" w:lineRule="auto"/>
        <w:rPr>
          <w:rFonts w:cstheme="minorHAnsi"/>
        </w:rPr>
      </w:pPr>
      <w:r w:rsidRPr="00DB35C5">
        <w:rPr>
          <w:rFonts w:cstheme="minorHAnsi"/>
          <w:b/>
        </w:rPr>
        <w:lastRenderedPageBreak/>
        <w:t xml:space="preserve">*Features : </w:t>
      </w:r>
      <w:r>
        <w:rPr>
          <w:rFonts w:cstheme="minorHAnsi"/>
          <w:b/>
        </w:rPr>
        <w:t xml:space="preserve"> </w:t>
      </w:r>
      <w:proofErr w:type="spellStart"/>
      <w:r w:rsidRPr="00DB35C5">
        <w:rPr>
          <w:rFonts w:cstheme="minorHAnsi"/>
          <w:b/>
        </w:rPr>
        <w:t>RefWorks</w:t>
      </w:r>
      <w:proofErr w:type="spellEnd"/>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proofErr w:type="gramStart"/>
      <w:r w:rsidR="007B6D87" w:rsidRPr="00AD5BC9">
        <w:rPr>
          <w:rFonts w:asciiTheme="minorHAnsi" w:hAnsiTheme="minorHAnsi" w:cstheme="minorHAnsi"/>
          <w:b/>
          <w:sz w:val="28"/>
        </w:rPr>
        <w:t>About</w:t>
      </w:r>
      <w:proofErr w:type="gramEnd"/>
      <w:r w:rsidR="007B6D87" w:rsidRPr="00AD5BC9">
        <w:rPr>
          <w:rFonts w:asciiTheme="minorHAnsi" w:hAnsiTheme="minorHAnsi" w:cstheme="minorHAnsi"/>
          <w:b/>
          <w:sz w:val="28"/>
        </w:rPr>
        <w:t xml:space="preserve">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608"/>
        <w:gridCol w:w="3480"/>
        <w:gridCol w:w="2692"/>
        <w:gridCol w:w="1074"/>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502"/>
        <w:gridCol w:w="2888"/>
        <w:gridCol w:w="4515"/>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6A1582"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6A1582" w:rsidP="000F7F65">
            <w:hyperlink r:id="rId18" w:history="1">
              <w:r w:rsidR="000F7F65" w:rsidRPr="00120C91">
                <w:rPr>
                  <w:rStyle w:val="Hyperlink"/>
                  <w:rFonts w:cstheme="minorHAnsi"/>
                </w:rPr>
                <w:t>http://www.oclc.org/oaister</w:t>
              </w:r>
            </w:hyperlink>
            <w:r w:rsidR="000F7F65"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proofErr w:type="spellStart"/>
      <w:r w:rsidRPr="00120C91">
        <w:rPr>
          <w:rFonts w:cstheme="minorHAnsi"/>
          <w:i/>
        </w:rPr>
        <w:t>ResearchGate</w:t>
      </w:r>
      <w:proofErr w:type="spellEnd"/>
      <w:r w:rsidRPr="00120C91">
        <w:rPr>
          <w:rFonts w:cstheme="minorHAnsi"/>
        </w:rPr>
        <w:t xml:space="preserve"> </w:t>
      </w:r>
      <w:hyperlink r:id="rId19"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0"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608"/>
        <w:gridCol w:w="2611"/>
        <w:gridCol w:w="4635"/>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6A1582" w:rsidP="00F402E6">
            <w:pPr>
              <w:rPr>
                <w:rFonts w:cstheme="minorHAnsi"/>
              </w:rPr>
            </w:pPr>
            <w:hyperlink r:id="rId21"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 xml:space="preserve">Can request a digital copy if not online. </w:t>
            </w:r>
            <w:r>
              <w:rPr>
                <w:rFonts w:cstheme="minorHAnsi"/>
              </w:rPr>
              <w:lastRenderedPageBreak/>
              <w:t>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6A1582" w:rsidP="001835DE">
            <w:pPr>
              <w:rPr>
                <w:rFonts w:cstheme="minorHAnsi"/>
              </w:rPr>
            </w:pPr>
            <w:hyperlink r:id="rId22"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6A1582" w:rsidP="00F402E6">
            <w:pPr>
              <w:rPr>
                <w:rFonts w:cstheme="minorHAnsi"/>
              </w:rPr>
            </w:pPr>
            <w:hyperlink r:id="rId23"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9"/>
        <w:gridCol w:w="4933"/>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w:t>
            </w:r>
            <w:proofErr w:type="gramStart"/>
            <w:r w:rsidRPr="2DEE0F1F">
              <w:rPr>
                <w:lang w:eastAsia="zh-CN"/>
              </w:rPr>
              <w:t>?t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w:t>
            </w:r>
            <w:proofErr w:type="gramStart"/>
            <w:r w:rsidRPr="2DEE0F1F">
              <w:rPr>
                <w:lang w:eastAsia="zh-CN"/>
              </w:rPr>
              <w:t>)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4"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5"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 xml:space="preserve">It is possible to save references from the above databases into reference management software such as </w:t>
      </w:r>
      <w:proofErr w:type="spellStart"/>
      <w:r w:rsidRPr="00205751">
        <w:rPr>
          <w:rFonts w:cstheme="minorHAnsi"/>
        </w:rPr>
        <w:t>RefWorks</w:t>
      </w:r>
      <w:proofErr w:type="spellEnd"/>
      <w:r w:rsidRPr="00205751">
        <w:rPr>
          <w:rFonts w:cstheme="minorHAnsi"/>
        </w:rPr>
        <w:t xml:space="preserve">.  </w:t>
      </w:r>
      <w:proofErr w:type="spellStart"/>
      <w:r w:rsidRPr="00205751">
        <w:rPr>
          <w:rFonts w:cstheme="minorHAnsi"/>
        </w:rPr>
        <w:t>RefWorks</w:t>
      </w:r>
      <w:proofErr w:type="spellEnd"/>
      <w:r w:rsidRPr="00205751">
        <w:rPr>
          <w:rFonts w:cstheme="minorHAnsi"/>
        </w:rPr>
        <w:t xml:space="preserve">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6" w:history="1">
        <w:r w:rsidR="00B46CE8" w:rsidRPr="00CD4206">
          <w:rPr>
            <w:rStyle w:val="Hyperlink"/>
            <w:rFonts w:cstheme="minorHAnsi"/>
          </w:rPr>
          <w:t>www.wlv.ac.uk/lib/referencing</w:t>
        </w:r>
      </w:hyperlink>
      <w:r w:rsidR="00B46CE8">
        <w:rPr>
          <w:rFonts w:cstheme="minorHAnsi"/>
        </w:rPr>
        <w:t xml:space="preserve"> for information on how to sign-up to </w:t>
      </w:r>
      <w:proofErr w:type="spellStart"/>
      <w:r w:rsidR="00B46CE8">
        <w:rPr>
          <w:rFonts w:cstheme="minorHAnsi"/>
        </w:rPr>
        <w:t>RefWorks</w:t>
      </w:r>
      <w:proofErr w:type="spellEnd"/>
      <w:r w:rsidR="00B46CE8">
        <w:rPr>
          <w:rFonts w:cstheme="minorHAnsi"/>
        </w:rPr>
        <w:t>.</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7"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lastRenderedPageBreak/>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8"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9"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2"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3"/>
      <w:footerReference w:type="default" r:id="rId34"/>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EC824" w14:textId="77777777" w:rsidR="006A1582" w:rsidRDefault="006A1582" w:rsidP="00485B0A">
      <w:pPr>
        <w:spacing w:after="0" w:line="240" w:lineRule="auto"/>
      </w:pPr>
      <w:r>
        <w:separator/>
      </w:r>
    </w:p>
  </w:endnote>
  <w:endnote w:type="continuationSeparator" w:id="0">
    <w:p w14:paraId="77567706" w14:textId="77777777" w:rsidR="006A1582" w:rsidRDefault="006A1582"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altName w:val="Nyala"/>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96776" w14:textId="77777777" w:rsidR="006A1582" w:rsidRDefault="006A1582" w:rsidP="00485B0A">
      <w:pPr>
        <w:spacing w:after="0" w:line="240" w:lineRule="auto"/>
      </w:pPr>
      <w:r>
        <w:separator/>
      </w:r>
    </w:p>
  </w:footnote>
  <w:footnote w:type="continuationSeparator" w:id="0">
    <w:p w14:paraId="4855E159" w14:textId="77777777" w:rsidR="006A1582" w:rsidRDefault="006A1582" w:rsidP="0048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31AC1"/>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91CB8"/>
    <w:rsid w:val="005A3D2A"/>
    <w:rsid w:val="005A55CC"/>
    <w:rsid w:val="005A57AA"/>
    <w:rsid w:val="005B1408"/>
    <w:rsid w:val="005B7D1D"/>
    <w:rsid w:val="005C44C3"/>
    <w:rsid w:val="005D02D4"/>
    <w:rsid w:val="005D3DF6"/>
    <w:rsid w:val="005D6776"/>
    <w:rsid w:val="005E07C3"/>
    <w:rsid w:val="005F5C3C"/>
    <w:rsid w:val="00632CF5"/>
    <w:rsid w:val="00634841"/>
    <w:rsid w:val="00662B88"/>
    <w:rsid w:val="006722AB"/>
    <w:rsid w:val="006805BF"/>
    <w:rsid w:val="006A0254"/>
    <w:rsid w:val="006A090A"/>
    <w:rsid w:val="006A1582"/>
    <w:rsid w:val="006A3EA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5060"/>
    <w:rsid w:val="00B264AF"/>
    <w:rsid w:val="00B358EB"/>
    <w:rsid w:val="00B46CE8"/>
    <w:rsid w:val="00B67CC7"/>
    <w:rsid w:val="00B7517D"/>
    <w:rsid w:val="00BC62B5"/>
    <w:rsid w:val="00BD458D"/>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73D16"/>
    <w:rsid w:val="00E80111"/>
    <w:rsid w:val="00E8028F"/>
    <w:rsid w:val="00EE089B"/>
    <w:rsid w:val="00F05545"/>
    <w:rsid w:val="00F12FB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6366">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 w:id="20609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lv.ac.uk/lib/subjects/law/" TargetMode="External"/><Relationship Id="rId18" Type="http://schemas.openxmlformats.org/officeDocument/2006/relationships/hyperlink" Target="http://www.oclc.org/oaister" TargetMode="External"/><Relationship Id="rId26" Type="http://schemas.openxmlformats.org/officeDocument/2006/relationships/hyperlink" Target="http://www.wlv.ac.uk/lib/referencing" TargetMode="External"/><Relationship Id="rId3" Type="http://schemas.openxmlformats.org/officeDocument/2006/relationships/customXml" Target="../customXml/item3.xml"/><Relationship Id="rId21" Type="http://schemas.openxmlformats.org/officeDocument/2006/relationships/hyperlink" Target="http://ethos.bl.uk/"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ore.ac.uk/" TargetMode="External"/><Relationship Id="rId25" Type="http://schemas.openxmlformats.org/officeDocument/2006/relationships/hyperlink" Target="http://www.journaltocs.hw.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wlv.ac.uk/lib/resources/libkey-nomad" TargetMode="External"/><Relationship Id="rId29" Type="http://schemas.openxmlformats.org/officeDocument/2006/relationships/hyperlink" Target="mailto:LISliaison@wlv.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zetoc.mimas.ac.uk/" TargetMode="External"/><Relationship Id="rId32"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arch.ndltd.org/" TargetMode="External"/><Relationship Id="rId28" Type="http://schemas.openxmlformats.org/officeDocument/2006/relationships/hyperlink" Target="https://wlv.libanswers.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searchgate.net"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lv.ac.uk/lib/search" TargetMode="External"/><Relationship Id="rId22" Type="http://schemas.openxmlformats.org/officeDocument/2006/relationships/hyperlink" Target="http://wlv.openrepository.com/wlv%20" TargetMode="External"/><Relationship Id="rId27" Type="http://schemas.openxmlformats.org/officeDocument/2006/relationships/hyperlink" Target="http://www.wlv.ac.uk/lib/info/inter-library-loans" TargetMode="External"/><Relationship Id="rId30" Type="http://schemas.openxmlformats.org/officeDocument/2006/relationships/hyperlink" Target="http://creativecommons.org/licenses/by-nc-sa/2.0/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466012-5394-4A89-84ED-C91E12D0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19</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Hicks, Thomas J.</cp:lastModifiedBy>
  <cp:revision>4</cp:revision>
  <cp:lastPrinted>2017-08-10T15:25:00Z</cp:lastPrinted>
  <dcterms:created xsi:type="dcterms:W3CDTF">2021-11-11T10:11:00Z</dcterms:created>
  <dcterms:modified xsi:type="dcterms:W3CDTF">2021-11-12T15:15:00Z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