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286472C7">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5A132EB6" w14:textId="77777777" w:rsidR="007A1336" w:rsidRPr="007A1336" w:rsidRDefault="003810F4" w:rsidP="00BA0C4C">
      <w:pPr>
        <w:rPr>
          <w:rFonts w:ascii="Aptos Display" w:hAnsi="Aptos Display"/>
          <w:b/>
          <w:bCs/>
          <w:color w:val="FF3399"/>
          <w:sz w:val="62"/>
          <w:szCs w:val="62"/>
        </w:rPr>
      </w:pPr>
      <w:r w:rsidRPr="007A1336">
        <w:rPr>
          <w:rFonts w:ascii="Aptos Display" w:hAnsi="Aptos Display"/>
          <w:b/>
          <w:bCs/>
          <w:color w:val="FF3399"/>
          <w:sz w:val="62"/>
          <w:szCs w:val="62"/>
        </w:rPr>
        <w:t xml:space="preserve">Guide to </w:t>
      </w:r>
      <w:r w:rsidR="007A1336" w:rsidRPr="007A1336">
        <w:rPr>
          <w:rFonts w:ascii="Aptos Display" w:hAnsi="Aptos Display"/>
          <w:b/>
          <w:bCs/>
          <w:color w:val="FF3399"/>
          <w:sz w:val="62"/>
          <w:szCs w:val="62"/>
        </w:rPr>
        <w:t xml:space="preserve">Writing an </w:t>
      </w:r>
    </w:p>
    <w:p w14:paraId="0860A60A" w14:textId="7788E702" w:rsidR="00462E5D" w:rsidRPr="007A1336" w:rsidRDefault="007A1336" w:rsidP="00BA0C4C">
      <w:pPr>
        <w:rPr>
          <w:rFonts w:ascii="Aptos Display" w:hAnsi="Aptos Display"/>
          <w:b/>
          <w:bCs/>
          <w:color w:val="FF3399"/>
          <w:sz w:val="62"/>
          <w:szCs w:val="62"/>
        </w:rPr>
      </w:pPr>
      <w:r w:rsidRPr="007A1336">
        <w:rPr>
          <w:rFonts w:ascii="Aptos Display" w:hAnsi="Aptos Display"/>
          <w:b/>
          <w:bCs/>
          <w:color w:val="FF3399"/>
          <w:sz w:val="62"/>
          <w:szCs w:val="62"/>
        </w:rPr>
        <w:t>Annotated Bibliography</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278B3CDB" w14:textId="34BA553F" w:rsidR="007A1336" w:rsidRPr="007A1336" w:rsidRDefault="001B2763" w:rsidP="007A1336">
      <w:pPr>
        <w:spacing w:line="300" w:lineRule="exact"/>
        <w:rPr>
          <w:rFonts w:asciiTheme="minorHAnsi" w:hAnsiTheme="minorHAnsi"/>
          <w:sz w:val="22"/>
          <w:szCs w:val="22"/>
        </w:rPr>
      </w:pPr>
      <w:bookmarkStart w:id="0" w:name="_Hlk177561750"/>
      <w:r>
        <w:rPr>
          <w:rFonts w:ascii="Aptos SemiBold" w:hAnsi="Aptos SemiBold"/>
          <w:bCs/>
          <w:color w:val="505D7C"/>
          <w:spacing w:val="-6"/>
          <w:sz w:val="28"/>
          <w:szCs w:val="28"/>
        </w:rPr>
        <w:t>What is an Annotated Bibliography?</w:t>
      </w:r>
    </w:p>
    <w:p w14:paraId="23AA6677" w14:textId="77777777" w:rsidR="007A1336" w:rsidRPr="007A1336" w:rsidRDefault="007A1336" w:rsidP="007A1336">
      <w:pPr>
        <w:spacing w:line="300" w:lineRule="exact"/>
        <w:rPr>
          <w:rFonts w:asciiTheme="minorHAnsi" w:hAnsiTheme="minorHAnsi"/>
          <w:b/>
          <w:sz w:val="22"/>
          <w:szCs w:val="22"/>
        </w:rPr>
      </w:pPr>
    </w:p>
    <w:p w14:paraId="5B29B2F4"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An annotated bibliography is a list of citations, which can include books, journal articles and documents. Each citation is usually followed by a very brief description of the text and more importantly, a critical evaluation. This is often referred to as the annotation and should be between 100-200 words per citation as detailed in your assignment brief.</w:t>
      </w:r>
    </w:p>
    <w:p w14:paraId="69C31EAB" w14:textId="77777777" w:rsidR="007A1336" w:rsidRPr="007A1336" w:rsidRDefault="007A1336" w:rsidP="007A1336">
      <w:pPr>
        <w:spacing w:line="300" w:lineRule="exact"/>
        <w:rPr>
          <w:rFonts w:asciiTheme="minorHAnsi" w:hAnsiTheme="minorHAnsi"/>
          <w:sz w:val="22"/>
          <w:szCs w:val="22"/>
        </w:rPr>
      </w:pPr>
    </w:p>
    <w:p w14:paraId="7D7C72C4"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 xml:space="preserve">The purpose of an annotated bibliography is to highlight the importance, accuracy and credibility of each cited source. An annotated bibliography may be set for an assignment </w:t>
      </w:r>
      <w:proofErr w:type="gramStart"/>
      <w:r w:rsidRPr="007A1336">
        <w:rPr>
          <w:rFonts w:asciiTheme="minorHAnsi" w:hAnsiTheme="minorHAnsi"/>
          <w:sz w:val="22"/>
          <w:szCs w:val="22"/>
        </w:rPr>
        <w:t>in order to</w:t>
      </w:r>
      <w:proofErr w:type="gramEnd"/>
      <w:r w:rsidRPr="007A1336">
        <w:rPr>
          <w:rFonts w:asciiTheme="minorHAnsi" w:hAnsiTheme="minorHAnsi"/>
          <w:sz w:val="22"/>
          <w:szCs w:val="22"/>
        </w:rPr>
        <w:t xml:space="preserve"> inform the reader (in this case, academic staff) of your ability to choose sources that are relevant to your assignment topic.</w:t>
      </w:r>
    </w:p>
    <w:p w14:paraId="2A4BB194" w14:textId="77777777" w:rsidR="007A1336" w:rsidRPr="007A1336" w:rsidRDefault="007A1336" w:rsidP="007A1336">
      <w:pPr>
        <w:spacing w:line="300" w:lineRule="exact"/>
        <w:rPr>
          <w:rFonts w:asciiTheme="minorHAnsi" w:hAnsiTheme="minorHAnsi"/>
          <w:sz w:val="22"/>
          <w:szCs w:val="22"/>
        </w:rPr>
      </w:pPr>
    </w:p>
    <w:p w14:paraId="34E855A8"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This can also be used independently to identify key reading to support your understanding of a topic, which can then be drawn upon when completing your summative assessment. Writing an annotated bibliography will be beneficial to gain skills in organising data and developing a critical stance regarding published literature.</w:t>
      </w:r>
    </w:p>
    <w:p w14:paraId="502ACE2B" w14:textId="77777777" w:rsidR="007A1336" w:rsidRDefault="007A1336" w:rsidP="007A1336">
      <w:pPr>
        <w:spacing w:line="300" w:lineRule="exact"/>
        <w:rPr>
          <w:rFonts w:asciiTheme="minorHAnsi" w:hAnsiTheme="minorHAnsi"/>
          <w:sz w:val="22"/>
          <w:szCs w:val="22"/>
        </w:rPr>
      </w:pPr>
    </w:p>
    <w:p w14:paraId="58C61DBB" w14:textId="77777777" w:rsidR="001B2763" w:rsidRPr="007A1336" w:rsidRDefault="001B2763" w:rsidP="007A1336">
      <w:pPr>
        <w:spacing w:line="300" w:lineRule="exact"/>
        <w:rPr>
          <w:rFonts w:asciiTheme="minorHAnsi" w:hAnsiTheme="minorHAnsi"/>
          <w:sz w:val="22"/>
          <w:szCs w:val="22"/>
        </w:rPr>
      </w:pPr>
    </w:p>
    <w:p w14:paraId="1534340C" w14:textId="0940F44E" w:rsidR="007A1336" w:rsidRPr="007A1336" w:rsidRDefault="001B2763" w:rsidP="007A1336">
      <w:pPr>
        <w:spacing w:line="300" w:lineRule="exact"/>
        <w:rPr>
          <w:rFonts w:asciiTheme="minorHAnsi" w:hAnsiTheme="minorHAnsi"/>
          <w:sz w:val="22"/>
          <w:szCs w:val="22"/>
        </w:rPr>
      </w:pPr>
      <w:r>
        <w:rPr>
          <w:rFonts w:ascii="Aptos SemiBold" w:hAnsi="Aptos SemiBold"/>
          <w:bCs/>
          <w:color w:val="505D7C"/>
          <w:spacing w:val="-6"/>
          <w:sz w:val="28"/>
          <w:szCs w:val="28"/>
        </w:rPr>
        <w:t>Things to Think About:</w:t>
      </w:r>
    </w:p>
    <w:p w14:paraId="0EBD5D78" w14:textId="77777777" w:rsidR="007A1336" w:rsidRPr="007A1336" w:rsidRDefault="007A1336" w:rsidP="007A1336">
      <w:pPr>
        <w:spacing w:line="300" w:lineRule="exact"/>
        <w:rPr>
          <w:rFonts w:asciiTheme="minorHAnsi" w:hAnsiTheme="minorHAnsi"/>
          <w:sz w:val="22"/>
          <w:szCs w:val="22"/>
        </w:rPr>
      </w:pPr>
    </w:p>
    <w:p w14:paraId="11B78569" w14:textId="77777777" w:rsidR="007A1336" w:rsidRPr="007A1336" w:rsidRDefault="007A1336" w:rsidP="007A1336">
      <w:pPr>
        <w:spacing w:line="300" w:lineRule="exact"/>
        <w:rPr>
          <w:rFonts w:asciiTheme="minorHAnsi" w:hAnsiTheme="minorHAnsi"/>
          <w:sz w:val="22"/>
          <w:szCs w:val="22"/>
        </w:rPr>
      </w:pPr>
      <w:proofErr w:type="gramStart"/>
      <w:r w:rsidRPr="007A1336">
        <w:rPr>
          <w:rFonts w:asciiTheme="minorHAnsi" w:hAnsiTheme="minorHAnsi"/>
          <w:sz w:val="22"/>
          <w:szCs w:val="22"/>
        </w:rPr>
        <w:t>All of</w:t>
      </w:r>
      <w:proofErr w:type="gramEnd"/>
      <w:r w:rsidRPr="007A1336">
        <w:rPr>
          <w:rFonts w:asciiTheme="minorHAnsi" w:hAnsiTheme="minorHAnsi"/>
          <w:sz w:val="22"/>
          <w:szCs w:val="22"/>
        </w:rPr>
        <w:t xml:space="preserve"> the sources cited will need to be correctly referenced. Access full referencing guides on the Skills for Learning web site:  </w:t>
      </w:r>
      <w:hyperlink r:id="rId14" w:history="1">
        <w:r w:rsidRPr="007A1336">
          <w:rPr>
            <w:rStyle w:val="Hyperlink"/>
            <w:rFonts w:asciiTheme="minorHAnsi" w:hAnsiTheme="minorHAnsi"/>
            <w:sz w:val="22"/>
            <w:szCs w:val="22"/>
          </w:rPr>
          <w:t>www.wlv.ac.uk/lib/skills-for-learning/referencing</w:t>
        </w:r>
      </w:hyperlink>
    </w:p>
    <w:p w14:paraId="4885C531" w14:textId="77777777" w:rsidR="007A1336" w:rsidRPr="007A1336" w:rsidRDefault="007A1336" w:rsidP="007A1336">
      <w:pPr>
        <w:spacing w:line="300" w:lineRule="exact"/>
        <w:rPr>
          <w:rFonts w:asciiTheme="minorHAnsi" w:hAnsiTheme="minorHAnsi"/>
          <w:sz w:val="22"/>
          <w:szCs w:val="22"/>
        </w:rPr>
      </w:pPr>
    </w:p>
    <w:p w14:paraId="4EEABD8B"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The following information will need to be included in the annotation for each source:</w:t>
      </w:r>
    </w:p>
    <w:p w14:paraId="1E76680C" w14:textId="77777777" w:rsidR="007A1336" w:rsidRPr="007A1336" w:rsidRDefault="007A1336" w:rsidP="007A1336">
      <w:pPr>
        <w:spacing w:line="300" w:lineRule="exact"/>
        <w:rPr>
          <w:rFonts w:asciiTheme="minorHAnsi" w:hAnsiTheme="minorHAnsi"/>
          <w:sz w:val="22"/>
          <w:szCs w:val="22"/>
        </w:rPr>
      </w:pPr>
    </w:p>
    <w:p w14:paraId="3F825313" w14:textId="77777777" w:rsidR="007A1336" w:rsidRPr="007A1336" w:rsidRDefault="007A1336" w:rsidP="007A1336">
      <w:pPr>
        <w:numPr>
          <w:ilvl w:val="0"/>
          <w:numId w:val="10"/>
        </w:numPr>
        <w:spacing w:line="300" w:lineRule="exact"/>
        <w:rPr>
          <w:rFonts w:asciiTheme="minorHAnsi" w:hAnsiTheme="minorHAnsi"/>
          <w:sz w:val="22"/>
          <w:szCs w:val="22"/>
        </w:rPr>
      </w:pPr>
      <w:r w:rsidRPr="007A1336">
        <w:rPr>
          <w:rFonts w:asciiTheme="minorHAnsi" w:hAnsiTheme="minorHAnsi"/>
          <w:b/>
          <w:sz w:val="22"/>
          <w:szCs w:val="22"/>
        </w:rPr>
        <w:t>Summary – what is it about?</w:t>
      </w:r>
    </w:p>
    <w:p w14:paraId="05B9DB05" w14:textId="77777777" w:rsidR="007A1336" w:rsidRPr="007A1336" w:rsidRDefault="007A1336" w:rsidP="007A1336">
      <w:pPr>
        <w:numPr>
          <w:ilvl w:val="1"/>
          <w:numId w:val="10"/>
        </w:numPr>
        <w:spacing w:line="300" w:lineRule="exact"/>
        <w:rPr>
          <w:rFonts w:asciiTheme="minorHAnsi" w:hAnsiTheme="minorHAnsi"/>
          <w:sz w:val="22"/>
          <w:szCs w:val="22"/>
        </w:rPr>
      </w:pPr>
      <w:r w:rsidRPr="007A1336">
        <w:rPr>
          <w:rFonts w:asciiTheme="minorHAnsi" w:hAnsiTheme="minorHAnsi"/>
          <w:sz w:val="22"/>
          <w:szCs w:val="22"/>
        </w:rPr>
        <w:t>What is the author’s purpose, aim or research question?</w:t>
      </w:r>
    </w:p>
    <w:p w14:paraId="4613FD7F" w14:textId="77777777" w:rsidR="007A1336" w:rsidRPr="007A1336" w:rsidRDefault="007A1336" w:rsidP="007A1336">
      <w:pPr>
        <w:numPr>
          <w:ilvl w:val="1"/>
          <w:numId w:val="10"/>
        </w:numPr>
        <w:spacing w:line="300" w:lineRule="exact"/>
        <w:rPr>
          <w:rFonts w:asciiTheme="minorHAnsi" w:hAnsiTheme="minorHAnsi"/>
          <w:sz w:val="22"/>
          <w:szCs w:val="22"/>
        </w:rPr>
      </w:pPr>
      <w:r w:rsidRPr="007A1336">
        <w:rPr>
          <w:rFonts w:asciiTheme="minorHAnsi" w:hAnsiTheme="minorHAnsi"/>
          <w:sz w:val="22"/>
          <w:szCs w:val="22"/>
        </w:rPr>
        <w:t>What is the main argument, finding or conclusion</w:t>
      </w:r>
    </w:p>
    <w:p w14:paraId="07F0D133" w14:textId="77777777" w:rsidR="007A1336" w:rsidRPr="007A1336" w:rsidRDefault="007A1336" w:rsidP="007A1336">
      <w:pPr>
        <w:spacing w:line="300" w:lineRule="exact"/>
        <w:rPr>
          <w:rFonts w:asciiTheme="minorHAnsi" w:hAnsiTheme="minorHAnsi"/>
          <w:sz w:val="22"/>
          <w:szCs w:val="22"/>
        </w:rPr>
      </w:pPr>
    </w:p>
    <w:p w14:paraId="3C963FC2" w14:textId="77777777" w:rsidR="007A1336" w:rsidRPr="007A1336" w:rsidRDefault="007A1336" w:rsidP="007A1336">
      <w:pPr>
        <w:numPr>
          <w:ilvl w:val="0"/>
          <w:numId w:val="10"/>
        </w:numPr>
        <w:spacing w:line="300" w:lineRule="exact"/>
        <w:rPr>
          <w:rFonts w:asciiTheme="minorHAnsi" w:hAnsiTheme="minorHAnsi"/>
          <w:b/>
          <w:sz w:val="22"/>
          <w:szCs w:val="22"/>
        </w:rPr>
      </w:pPr>
      <w:r w:rsidRPr="007A1336">
        <w:rPr>
          <w:rFonts w:asciiTheme="minorHAnsi" w:hAnsiTheme="minorHAnsi"/>
          <w:b/>
          <w:sz w:val="22"/>
          <w:szCs w:val="22"/>
        </w:rPr>
        <w:t>Evaluation – what do you think about the text?</w:t>
      </w:r>
    </w:p>
    <w:p w14:paraId="6B18D216" w14:textId="77777777" w:rsidR="007A1336" w:rsidRPr="007A1336" w:rsidRDefault="007A1336" w:rsidP="007A1336">
      <w:pPr>
        <w:numPr>
          <w:ilvl w:val="1"/>
          <w:numId w:val="10"/>
        </w:numPr>
        <w:spacing w:line="300" w:lineRule="exact"/>
        <w:rPr>
          <w:rFonts w:asciiTheme="minorHAnsi" w:hAnsiTheme="minorHAnsi"/>
          <w:sz w:val="22"/>
          <w:szCs w:val="22"/>
        </w:rPr>
      </w:pPr>
      <w:r w:rsidRPr="007A1336">
        <w:rPr>
          <w:rFonts w:asciiTheme="minorHAnsi" w:hAnsiTheme="minorHAnsi"/>
          <w:sz w:val="22"/>
          <w:szCs w:val="22"/>
        </w:rPr>
        <w:t xml:space="preserve">Who is it written for? (e.g. the </w:t>
      </w:r>
      <w:proofErr w:type="gramStart"/>
      <w:r w:rsidRPr="007A1336">
        <w:rPr>
          <w:rFonts w:asciiTheme="minorHAnsi" w:hAnsiTheme="minorHAnsi"/>
          <w:sz w:val="22"/>
          <w:szCs w:val="22"/>
        </w:rPr>
        <w:t>general public</w:t>
      </w:r>
      <w:proofErr w:type="gramEnd"/>
      <w:r w:rsidRPr="007A1336">
        <w:rPr>
          <w:rFonts w:asciiTheme="minorHAnsi" w:hAnsiTheme="minorHAnsi"/>
          <w:sz w:val="22"/>
          <w:szCs w:val="22"/>
        </w:rPr>
        <w:t>, health professionals, academic staff?)</w:t>
      </w:r>
    </w:p>
    <w:p w14:paraId="32408350" w14:textId="77777777" w:rsidR="007A1336" w:rsidRPr="007A1336" w:rsidRDefault="007A1336" w:rsidP="007A1336">
      <w:pPr>
        <w:numPr>
          <w:ilvl w:val="1"/>
          <w:numId w:val="10"/>
        </w:numPr>
        <w:spacing w:line="300" w:lineRule="exact"/>
        <w:rPr>
          <w:rFonts w:asciiTheme="minorHAnsi" w:hAnsiTheme="minorHAnsi"/>
          <w:sz w:val="22"/>
          <w:szCs w:val="22"/>
        </w:rPr>
      </w:pPr>
      <w:r w:rsidRPr="007A1336">
        <w:rPr>
          <w:rFonts w:asciiTheme="minorHAnsi" w:hAnsiTheme="minorHAnsi"/>
          <w:sz w:val="22"/>
          <w:szCs w:val="22"/>
        </w:rPr>
        <w:t>What do you think are the main strengths?</w:t>
      </w:r>
    </w:p>
    <w:p w14:paraId="6FFA6E80" w14:textId="77777777" w:rsidR="007A1336" w:rsidRPr="007A1336" w:rsidRDefault="007A1336" w:rsidP="007A1336">
      <w:pPr>
        <w:numPr>
          <w:ilvl w:val="1"/>
          <w:numId w:val="10"/>
        </w:numPr>
        <w:spacing w:line="300" w:lineRule="exact"/>
        <w:rPr>
          <w:rFonts w:asciiTheme="minorHAnsi" w:hAnsiTheme="minorHAnsi"/>
          <w:sz w:val="22"/>
          <w:szCs w:val="22"/>
        </w:rPr>
      </w:pPr>
      <w:r w:rsidRPr="007A1336">
        <w:rPr>
          <w:rFonts w:asciiTheme="minorHAnsi" w:hAnsiTheme="minorHAnsi"/>
          <w:sz w:val="22"/>
          <w:szCs w:val="22"/>
        </w:rPr>
        <w:t>Are there any weaknesses or flaws with the research?</w:t>
      </w:r>
    </w:p>
    <w:p w14:paraId="756E078D" w14:textId="77777777" w:rsidR="007A1336" w:rsidRPr="007A1336" w:rsidRDefault="007A1336" w:rsidP="007A1336">
      <w:pPr>
        <w:spacing w:line="300" w:lineRule="exact"/>
        <w:rPr>
          <w:rFonts w:asciiTheme="minorHAnsi" w:hAnsiTheme="minorHAnsi"/>
          <w:sz w:val="22"/>
          <w:szCs w:val="22"/>
        </w:rPr>
      </w:pPr>
    </w:p>
    <w:p w14:paraId="1924B186" w14:textId="77777777" w:rsidR="007A1336" w:rsidRPr="007A1336" w:rsidRDefault="007A1336" w:rsidP="007A1336">
      <w:pPr>
        <w:numPr>
          <w:ilvl w:val="0"/>
          <w:numId w:val="10"/>
        </w:numPr>
        <w:spacing w:line="300" w:lineRule="exact"/>
        <w:rPr>
          <w:rFonts w:asciiTheme="minorHAnsi" w:hAnsiTheme="minorHAnsi"/>
          <w:b/>
          <w:sz w:val="22"/>
          <w:szCs w:val="22"/>
        </w:rPr>
      </w:pPr>
      <w:r w:rsidRPr="007A1336">
        <w:rPr>
          <w:rFonts w:asciiTheme="minorHAnsi" w:hAnsiTheme="minorHAnsi"/>
          <w:b/>
          <w:sz w:val="22"/>
          <w:szCs w:val="22"/>
        </w:rPr>
        <w:t>Reflection – how might you use it?</w:t>
      </w:r>
    </w:p>
    <w:p w14:paraId="2FBB1A8D" w14:textId="77777777" w:rsidR="007A1336" w:rsidRPr="007A1336" w:rsidRDefault="007A1336" w:rsidP="007A1336">
      <w:pPr>
        <w:numPr>
          <w:ilvl w:val="1"/>
          <w:numId w:val="10"/>
        </w:numPr>
        <w:spacing w:line="300" w:lineRule="exact"/>
        <w:rPr>
          <w:rFonts w:asciiTheme="minorHAnsi" w:hAnsiTheme="minorHAnsi"/>
          <w:sz w:val="22"/>
          <w:szCs w:val="22"/>
        </w:rPr>
      </w:pPr>
      <w:r w:rsidRPr="007A1336">
        <w:rPr>
          <w:rFonts w:asciiTheme="minorHAnsi" w:hAnsiTheme="minorHAnsi"/>
          <w:sz w:val="22"/>
          <w:szCs w:val="22"/>
        </w:rPr>
        <w:t>Has the text helped you understand something more in depth?</w:t>
      </w:r>
    </w:p>
    <w:p w14:paraId="37F667E4" w14:textId="77777777" w:rsidR="007A1336" w:rsidRPr="007A1336" w:rsidRDefault="007A1336" w:rsidP="007A1336">
      <w:pPr>
        <w:numPr>
          <w:ilvl w:val="1"/>
          <w:numId w:val="10"/>
        </w:numPr>
        <w:spacing w:line="300" w:lineRule="exact"/>
        <w:rPr>
          <w:rFonts w:asciiTheme="minorHAnsi" w:hAnsiTheme="minorHAnsi"/>
          <w:sz w:val="22"/>
          <w:szCs w:val="22"/>
        </w:rPr>
      </w:pPr>
      <w:r w:rsidRPr="007A1336">
        <w:rPr>
          <w:rFonts w:asciiTheme="minorHAnsi" w:hAnsiTheme="minorHAnsi"/>
          <w:sz w:val="22"/>
          <w:szCs w:val="22"/>
        </w:rPr>
        <w:t>How useful is the research?</w:t>
      </w:r>
    </w:p>
    <w:p w14:paraId="02FC7969" w14:textId="77777777" w:rsidR="007A1336" w:rsidRPr="007A1336" w:rsidRDefault="007A1336" w:rsidP="007A1336">
      <w:pPr>
        <w:numPr>
          <w:ilvl w:val="1"/>
          <w:numId w:val="10"/>
        </w:numPr>
        <w:spacing w:line="300" w:lineRule="exact"/>
        <w:rPr>
          <w:rFonts w:asciiTheme="minorHAnsi" w:hAnsiTheme="minorHAnsi"/>
          <w:sz w:val="22"/>
          <w:szCs w:val="22"/>
        </w:rPr>
      </w:pPr>
      <w:r w:rsidRPr="007A1336">
        <w:rPr>
          <w:rFonts w:asciiTheme="minorHAnsi" w:hAnsiTheme="minorHAnsi"/>
          <w:sz w:val="22"/>
          <w:szCs w:val="22"/>
        </w:rPr>
        <w:t>How might you refer to it?</w:t>
      </w:r>
    </w:p>
    <w:p w14:paraId="33D03EED" w14:textId="77777777" w:rsidR="007A1336" w:rsidRPr="007A1336" w:rsidRDefault="007A1336" w:rsidP="007A1336">
      <w:pPr>
        <w:spacing w:line="300" w:lineRule="exact"/>
        <w:rPr>
          <w:rFonts w:asciiTheme="minorHAnsi" w:hAnsiTheme="minorHAnsi"/>
          <w:sz w:val="22"/>
          <w:szCs w:val="22"/>
        </w:rPr>
      </w:pPr>
    </w:p>
    <w:p w14:paraId="570AD34D" w14:textId="77777777" w:rsidR="007A1336" w:rsidRPr="007A1336" w:rsidRDefault="007A1336" w:rsidP="007A1336">
      <w:pPr>
        <w:spacing w:line="300" w:lineRule="exact"/>
        <w:rPr>
          <w:rFonts w:asciiTheme="minorHAnsi" w:hAnsiTheme="minorHAnsi"/>
          <w:b/>
          <w:sz w:val="22"/>
          <w:szCs w:val="22"/>
        </w:rPr>
      </w:pPr>
    </w:p>
    <w:p w14:paraId="55591C92" w14:textId="77777777" w:rsidR="007A1336" w:rsidRPr="007A1336" w:rsidRDefault="007A1336" w:rsidP="007A1336">
      <w:pPr>
        <w:spacing w:line="300" w:lineRule="exact"/>
        <w:rPr>
          <w:rFonts w:asciiTheme="minorHAnsi" w:hAnsiTheme="minorHAnsi"/>
          <w:b/>
          <w:sz w:val="22"/>
          <w:szCs w:val="22"/>
        </w:rPr>
      </w:pPr>
    </w:p>
    <w:p w14:paraId="56A9E095" w14:textId="1288D44B" w:rsidR="007A1336" w:rsidRPr="007A1336" w:rsidRDefault="001B2763" w:rsidP="007A1336">
      <w:pPr>
        <w:spacing w:line="300" w:lineRule="exact"/>
        <w:rPr>
          <w:rFonts w:asciiTheme="minorHAnsi" w:hAnsiTheme="minorHAnsi"/>
          <w:sz w:val="22"/>
          <w:szCs w:val="22"/>
        </w:rPr>
      </w:pPr>
      <w:r>
        <w:rPr>
          <w:rFonts w:ascii="Aptos SemiBold" w:hAnsi="Aptos SemiBold"/>
          <w:bCs/>
          <w:color w:val="505D7C"/>
          <w:spacing w:val="-6"/>
          <w:sz w:val="28"/>
          <w:szCs w:val="28"/>
        </w:rPr>
        <w:t>Examples:</w:t>
      </w:r>
    </w:p>
    <w:p w14:paraId="4E19A246" w14:textId="77777777" w:rsidR="007A1336" w:rsidRPr="007A1336" w:rsidRDefault="007A1336" w:rsidP="007A1336">
      <w:pPr>
        <w:spacing w:line="300" w:lineRule="exact"/>
        <w:rPr>
          <w:rFonts w:asciiTheme="minorHAnsi" w:hAnsiTheme="minorHAnsi"/>
          <w:sz w:val="22"/>
          <w:szCs w:val="22"/>
        </w:rPr>
      </w:pPr>
    </w:p>
    <w:p w14:paraId="487331B8" w14:textId="77777777" w:rsid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The table below shows an example of an annotated bibliography entry containing 150 words:</w:t>
      </w:r>
    </w:p>
    <w:p w14:paraId="3F95418F" w14:textId="77777777" w:rsidR="001B2763" w:rsidRPr="007A1336" w:rsidRDefault="001B2763" w:rsidP="007A1336">
      <w:pPr>
        <w:spacing w:line="300" w:lineRule="exact"/>
        <w:rPr>
          <w:rFonts w:asciiTheme="minorHAnsi" w:hAnsiTheme="minorHAnsi"/>
          <w:sz w:val="22"/>
          <w:szCs w:val="22"/>
        </w:rPr>
      </w:pPr>
    </w:p>
    <w:tbl>
      <w:tblPr>
        <w:tblW w:w="9405" w:type="dxa"/>
        <w:tblInd w:w="-113" w:type="dxa"/>
        <w:tblLayout w:type="fixed"/>
        <w:tblCellMar>
          <w:left w:w="10" w:type="dxa"/>
          <w:right w:w="10" w:type="dxa"/>
        </w:tblCellMar>
        <w:tblLook w:val="04A0" w:firstRow="1" w:lastRow="0" w:firstColumn="1" w:lastColumn="0" w:noHBand="0" w:noVBand="1"/>
      </w:tblPr>
      <w:tblGrid>
        <w:gridCol w:w="1384"/>
        <w:gridCol w:w="8021"/>
      </w:tblGrid>
      <w:tr w:rsidR="007A1336" w:rsidRPr="007A1336" w14:paraId="0A175766" w14:textId="77777777" w:rsidTr="001B2763">
        <w:tc>
          <w:tcPr>
            <w:tcW w:w="94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734F7"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 xml:space="preserve"> </w:t>
            </w:r>
          </w:p>
          <w:p w14:paraId="74C7A864" w14:textId="77777777" w:rsidR="007A1336" w:rsidRPr="007A1336" w:rsidRDefault="007A1336" w:rsidP="007A1336">
            <w:pPr>
              <w:spacing w:line="300" w:lineRule="exact"/>
              <w:rPr>
                <w:rFonts w:asciiTheme="minorHAnsi" w:hAnsiTheme="minorHAnsi"/>
                <w:sz w:val="22"/>
                <w:szCs w:val="22"/>
              </w:rPr>
            </w:pPr>
            <w:proofErr w:type="spellStart"/>
            <w:r w:rsidRPr="007A1336">
              <w:rPr>
                <w:rFonts w:asciiTheme="minorHAnsi" w:hAnsiTheme="minorHAnsi"/>
                <w:sz w:val="22"/>
                <w:szCs w:val="22"/>
              </w:rPr>
              <w:t>Lhachimi</w:t>
            </w:r>
            <w:proofErr w:type="spellEnd"/>
            <w:r w:rsidRPr="007A1336">
              <w:rPr>
                <w:rFonts w:asciiTheme="minorHAnsi" w:hAnsiTheme="minorHAnsi"/>
                <w:sz w:val="22"/>
                <w:szCs w:val="22"/>
              </w:rPr>
              <w:t xml:space="preserve">, S.K. and Cole, K.J. (2015) ‘Health impacts of increasing alcohol prices in the European Union: A dynamic projection’, </w:t>
            </w:r>
            <w:r w:rsidRPr="007A1336">
              <w:rPr>
                <w:rFonts w:asciiTheme="minorHAnsi" w:hAnsiTheme="minorHAnsi"/>
                <w:i/>
                <w:sz w:val="22"/>
                <w:szCs w:val="22"/>
              </w:rPr>
              <w:t>Preventive Medicine,</w:t>
            </w:r>
            <w:r w:rsidRPr="007A1336">
              <w:rPr>
                <w:rFonts w:asciiTheme="minorHAnsi" w:hAnsiTheme="minorHAnsi"/>
                <w:sz w:val="22"/>
                <w:szCs w:val="22"/>
              </w:rPr>
              <w:t xml:space="preserve"> </w:t>
            </w:r>
            <w:r w:rsidRPr="007A1336">
              <w:rPr>
                <w:rFonts w:asciiTheme="minorHAnsi" w:hAnsiTheme="minorHAnsi"/>
                <w:bCs/>
                <w:sz w:val="22"/>
                <w:szCs w:val="22"/>
              </w:rPr>
              <w:t>55</w:t>
            </w:r>
            <w:r w:rsidRPr="007A1336">
              <w:rPr>
                <w:rFonts w:asciiTheme="minorHAnsi" w:hAnsiTheme="minorHAnsi"/>
                <w:sz w:val="22"/>
                <w:szCs w:val="22"/>
              </w:rPr>
              <w:t>(3), pp. 237-243.</w:t>
            </w:r>
          </w:p>
          <w:p w14:paraId="2A93FB2B" w14:textId="77777777" w:rsidR="007A1336" w:rsidRPr="007A1336" w:rsidRDefault="007A1336" w:rsidP="007A1336">
            <w:pPr>
              <w:spacing w:line="300" w:lineRule="exact"/>
              <w:rPr>
                <w:rFonts w:asciiTheme="minorHAnsi" w:hAnsiTheme="minorHAnsi"/>
                <w:sz w:val="22"/>
                <w:szCs w:val="22"/>
              </w:rPr>
            </w:pPr>
          </w:p>
        </w:tc>
      </w:tr>
      <w:tr w:rsidR="007A1336" w:rsidRPr="007A1336" w14:paraId="600B61CD" w14:textId="77777777" w:rsidTr="001B2763">
        <w:tc>
          <w:tcPr>
            <w:tcW w:w="13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C808F10" w14:textId="77777777" w:rsidR="007A1336" w:rsidRPr="007A1336" w:rsidRDefault="007A1336" w:rsidP="007A1336">
            <w:pPr>
              <w:spacing w:line="300" w:lineRule="exact"/>
              <w:rPr>
                <w:rFonts w:asciiTheme="minorHAnsi" w:hAnsiTheme="minorHAnsi"/>
                <w:sz w:val="22"/>
                <w:szCs w:val="22"/>
              </w:rPr>
            </w:pPr>
          </w:p>
          <w:p w14:paraId="2AFD3CB2" w14:textId="77777777" w:rsidR="007A1336" w:rsidRPr="007A1336" w:rsidRDefault="007A1336" w:rsidP="007A1336">
            <w:pPr>
              <w:spacing w:line="300" w:lineRule="exact"/>
              <w:rPr>
                <w:rFonts w:asciiTheme="minorHAnsi" w:hAnsiTheme="minorHAnsi"/>
                <w:b/>
                <w:sz w:val="22"/>
                <w:szCs w:val="22"/>
              </w:rPr>
            </w:pPr>
            <w:r w:rsidRPr="007A1336">
              <w:rPr>
                <w:rFonts w:asciiTheme="minorHAnsi" w:hAnsiTheme="minorHAnsi"/>
                <w:b/>
                <w:sz w:val="22"/>
                <w:szCs w:val="22"/>
              </w:rPr>
              <w:t>Summary</w:t>
            </w:r>
          </w:p>
        </w:tc>
        <w:tc>
          <w:tcPr>
            <w:tcW w:w="8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E3102" w14:textId="77777777" w:rsidR="007A1336" w:rsidRPr="007A1336" w:rsidRDefault="007A1336" w:rsidP="007A1336">
            <w:pPr>
              <w:spacing w:line="300" w:lineRule="exact"/>
              <w:rPr>
                <w:rFonts w:asciiTheme="minorHAnsi" w:hAnsiTheme="minorHAnsi"/>
                <w:sz w:val="22"/>
                <w:szCs w:val="22"/>
              </w:rPr>
            </w:pPr>
          </w:p>
          <w:p w14:paraId="4B7B0A58"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This research aims to quantify the health impact of increasing the price of alcohol.</w:t>
            </w:r>
          </w:p>
          <w:p w14:paraId="4A48AC08" w14:textId="77777777" w:rsidR="007A1336" w:rsidRPr="007A1336" w:rsidRDefault="007A1336" w:rsidP="007A1336">
            <w:pPr>
              <w:spacing w:line="300" w:lineRule="exact"/>
              <w:rPr>
                <w:rFonts w:asciiTheme="minorHAnsi" w:hAnsiTheme="minorHAnsi"/>
                <w:sz w:val="22"/>
                <w:szCs w:val="22"/>
              </w:rPr>
            </w:pPr>
          </w:p>
          <w:p w14:paraId="60FC957B"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Quantitative methodology uses alcohol consumption and disease data to plot changes in the health of the population.</w:t>
            </w:r>
          </w:p>
          <w:p w14:paraId="54FF8312" w14:textId="77777777" w:rsidR="007A1336" w:rsidRPr="007A1336" w:rsidRDefault="007A1336" w:rsidP="007A1336">
            <w:pPr>
              <w:spacing w:line="300" w:lineRule="exact"/>
              <w:rPr>
                <w:rFonts w:asciiTheme="minorHAnsi" w:hAnsiTheme="minorHAnsi"/>
                <w:sz w:val="22"/>
                <w:szCs w:val="22"/>
              </w:rPr>
            </w:pPr>
          </w:p>
          <w:p w14:paraId="69543F40"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 xml:space="preserve">The authors conclude that Increasing price of alcohol would reduce significant numbers of alcohol related deaths and lead to a reduction in chronic diseases. Therefore, reducing </w:t>
            </w:r>
            <w:r w:rsidRPr="007A1336">
              <w:rPr>
                <w:rFonts w:asciiTheme="minorHAnsi" w:hAnsiTheme="minorHAnsi"/>
                <w:bCs/>
                <w:sz w:val="22"/>
                <w:szCs w:val="22"/>
              </w:rPr>
              <w:t>excessive drinking could result in significant gains in the health of the general population.</w:t>
            </w:r>
          </w:p>
        </w:tc>
      </w:tr>
      <w:tr w:rsidR="007A1336" w:rsidRPr="007A1336" w14:paraId="538553E4" w14:textId="77777777" w:rsidTr="001B2763">
        <w:tc>
          <w:tcPr>
            <w:tcW w:w="13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B3D05D" w14:textId="77777777" w:rsidR="007A1336" w:rsidRPr="007A1336" w:rsidRDefault="007A1336" w:rsidP="007A1336">
            <w:pPr>
              <w:spacing w:line="300" w:lineRule="exact"/>
              <w:rPr>
                <w:rFonts w:asciiTheme="minorHAnsi" w:hAnsiTheme="minorHAnsi"/>
                <w:sz w:val="22"/>
                <w:szCs w:val="22"/>
              </w:rPr>
            </w:pPr>
          </w:p>
          <w:p w14:paraId="204D3FED" w14:textId="77777777" w:rsidR="007A1336" w:rsidRPr="007A1336" w:rsidRDefault="007A1336" w:rsidP="007A1336">
            <w:pPr>
              <w:spacing w:line="300" w:lineRule="exact"/>
              <w:rPr>
                <w:rFonts w:asciiTheme="minorHAnsi" w:hAnsiTheme="minorHAnsi"/>
                <w:b/>
                <w:sz w:val="22"/>
                <w:szCs w:val="22"/>
              </w:rPr>
            </w:pPr>
            <w:r w:rsidRPr="007A1336">
              <w:rPr>
                <w:rFonts w:asciiTheme="minorHAnsi" w:hAnsiTheme="minorHAnsi"/>
                <w:b/>
                <w:sz w:val="22"/>
                <w:szCs w:val="22"/>
              </w:rPr>
              <w:t>Evaluation</w:t>
            </w:r>
          </w:p>
        </w:tc>
        <w:tc>
          <w:tcPr>
            <w:tcW w:w="8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2D28" w14:textId="77777777" w:rsidR="007A1336" w:rsidRPr="007A1336" w:rsidRDefault="007A1336" w:rsidP="007A1336">
            <w:pPr>
              <w:spacing w:line="300" w:lineRule="exact"/>
              <w:rPr>
                <w:rFonts w:asciiTheme="minorHAnsi" w:hAnsiTheme="minorHAnsi"/>
                <w:sz w:val="22"/>
                <w:szCs w:val="22"/>
              </w:rPr>
            </w:pPr>
          </w:p>
          <w:p w14:paraId="0BC32B01"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The article appears to be written to inform health professionals who work with alcohol-dependant people.</w:t>
            </w:r>
          </w:p>
          <w:p w14:paraId="5955862D" w14:textId="77777777" w:rsidR="007A1336" w:rsidRPr="007A1336" w:rsidRDefault="007A1336" w:rsidP="007A1336">
            <w:pPr>
              <w:spacing w:line="300" w:lineRule="exact"/>
              <w:rPr>
                <w:rFonts w:asciiTheme="minorHAnsi" w:hAnsiTheme="minorHAnsi"/>
                <w:sz w:val="22"/>
                <w:szCs w:val="22"/>
              </w:rPr>
            </w:pPr>
          </w:p>
          <w:p w14:paraId="41094AC2"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The data presented by the authors is informative, however, the data collection method could be considered flawed due to the small sample groups. The research also appears to be predictive and therefore, may be considered biased.</w:t>
            </w:r>
          </w:p>
          <w:p w14:paraId="1C85C939" w14:textId="77777777" w:rsidR="007A1336" w:rsidRPr="007A1336" w:rsidRDefault="007A1336" w:rsidP="007A1336">
            <w:pPr>
              <w:spacing w:line="300" w:lineRule="exact"/>
              <w:rPr>
                <w:rFonts w:asciiTheme="minorHAnsi" w:hAnsiTheme="minorHAnsi"/>
                <w:sz w:val="22"/>
                <w:szCs w:val="22"/>
              </w:rPr>
            </w:pPr>
          </w:p>
        </w:tc>
      </w:tr>
      <w:tr w:rsidR="007A1336" w:rsidRPr="007A1336" w14:paraId="3717F3A7" w14:textId="77777777" w:rsidTr="001B2763">
        <w:tc>
          <w:tcPr>
            <w:tcW w:w="13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CF036E8" w14:textId="77777777" w:rsidR="007A1336" w:rsidRPr="007A1336" w:rsidRDefault="007A1336" w:rsidP="007A1336">
            <w:pPr>
              <w:spacing w:line="300" w:lineRule="exact"/>
              <w:rPr>
                <w:rFonts w:asciiTheme="minorHAnsi" w:hAnsiTheme="minorHAnsi"/>
                <w:sz w:val="22"/>
                <w:szCs w:val="22"/>
              </w:rPr>
            </w:pPr>
          </w:p>
          <w:p w14:paraId="66773D64" w14:textId="77777777" w:rsidR="007A1336" w:rsidRPr="007A1336" w:rsidRDefault="007A1336" w:rsidP="007A1336">
            <w:pPr>
              <w:spacing w:line="300" w:lineRule="exact"/>
              <w:rPr>
                <w:rFonts w:asciiTheme="minorHAnsi" w:hAnsiTheme="minorHAnsi"/>
                <w:b/>
                <w:sz w:val="22"/>
                <w:szCs w:val="22"/>
              </w:rPr>
            </w:pPr>
            <w:r w:rsidRPr="007A1336">
              <w:rPr>
                <w:rFonts w:asciiTheme="minorHAnsi" w:hAnsiTheme="minorHAnsi"/>
                <w:b/>
                <w:sz w:val="22"/>
                <w:szCs w:val="22"/>
              </w:rPr>
              <w:t>Reflection</w:t>
            </w:r>
          </w:p>
        </w:tc>
        <w:tc>
          <w:tcPr>
            <w:tcW w:w="8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B20BD" w14:textId="77777777" w:rsidR="007A1336" w:rsidRPr="007A1336" w:rsidRDefault="007A1336" w:rsidP="007A1336">
            <w:pPr>
              <w:spacing w:line="300" w:lineRule="exact"/>
              <w:rPr>
                <w:rFonts w:asciiTheme="minorHAnsi" w:hAnsiTheme="minorHAnsi"/>
                <w:sz w:val="22"/>
                <w:szCs w:val="22"/>
              </w:rPr>
            </w:pPr>
          </w:p>
          <w:p w14:paraId="19A3AC5C"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 xml:space="preserve">The results and conclusions could be used by health professionals to inform the </w:t>
            </w:r>
            <w:proofErr w:type="gramStart"/>
            <w:r w:rsidRPr="007A1336">
              <w:rPr>
                <w:rFonts w:asciiTheme="minorHAnsi" w:hAnsiTheme="minorHAnsi"/>
                <w:sz w:val="22"/>
                <w:szCs w:val="22"/>
              </w:rPr>
              <w:t>general public</w:t>
            </w:r>
            <w:proofErr w:type="gramEnd"/>
            <w:r w:rsidRPr="007A1336">
              <w:rPr>
                <w:rFonts w:asciiTheme="minorHAnsi" w:hAnsiTheme="minorHAnsi"/>
                <w:sz w:val="22"/>
                <w:szCs w:val="22"/>
              </w:rPr>
              <w:t xml:space="preserve"> of the benefits of raising the price of alcohol using the data presented.</w:t>
            </w:r>
          </w:p>
        </w:tc>
      </w:tr>
    </w:tbl>
    <w:p w14:paraId="2CEB2A48" w14:textId="77777777" w:rsidR="007A1336" w:rsidRPr="007A1336" w:rsidRDefault="007A1336" w:rsidP="007A1336">
      <w:pPr>
        <w:spacing w:line="300" w:lineRule="exact"/>
        <w:rPr>
          <w:rFonts w:asciiTheme="minorHAnsi" w:hAnsiTheme="minorHAnsi"/>
          <w:sz w:val="22"/>
          <w:szCs w:val="22"/>
        </w:rPr>
      </w:pPr>
    </w:p>
    <w:p w14:paraId="54C1D31D" w14:textId="77777777" w:rsidR="007A1336" w:rsidRPr="007A1336" w:rsidRDefault="007A1336" w:rsidP="007A1336">
      <w:pPr>
        <w:spacing w:line="300" w:lineRule="exact"/>
        <w:rPr>
          <w:rFonts w:asciiTheme="minorHAnsi" w:hAnsiTheme="minorHAnsi"/>
          <w:sz w:val="22"/>
          <w:szCs w:val="22"/>
        </w:rPr>
      </w:pPr>
    </w:p>
    <w:p w14:paraId="2ACCD9E6"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Another useful example is below, containing 211 words:</w:t>
      </w:r>
    </w:p>
    <w:p w14:paraId="0FD028A5" w14:textId="77777777" w:rsidR="007A1336" w:rsidRPr="007A1336" w:rsidRDefault="007A1336" w:rsidP="007A1336">
      <w:pPr>
        <w:spacing w:line="300" w:lineRule="exact"/>
        <w:rPr>
          <w:rFonts w:asciiTheme="minorHAnsi" w:hAnsiTheme="minorHAnsi"/>
          <w:sz w:val="22"/>
          <w:szCs w:val="22"/>
        </w:rPr>
      </w:pPr>
    </w:p>
    <w:tbl>
      <w:tblPr>
        <w:tblW w:w="9420" w:type="dxa"/>
        <w:tblInd w:w="-120" w:type="dxa"/>
        <w:tblLayout w:type="fixed"/>
        <w:tblCellMar>
          <w:left w:w="10" w:type="dxa"/>
          <w:right w:w="10" w:type="dxa"/>
        </w:tblCellMar>
        <w:tblLook w:val="04A0" w:firstRow="1" w:lastRow="0" w:firstColumn="1" w:lastColumn="0" w:noHBand="0" w:noVBand="1"/>
      </w:tblPr>
      <w:tblGrid>
        <w:gridCol w:w="9420"/>
      </w:tblGrid>
      <w:tr w:rsidR="007A1336" w:rsidRPr="007A1336" w14:paraId="7A9AD7E7" w14:textId="77777777" w:rsidTr="007A1336">
        <w:tc>
          <w:tcPr>
            <w:tcW w:w="9424" w:type="dxa"/>
            <w:tcBorders>
              <w:top w:val="double" w:sz="6" w:space="0" w:color="C0C0C0"/>
              <w:left w:val="double" w:sz="6" w:space="0" w:color="C0C0C0"/>
              <w:bottom w:val="double" w:sz="6" w:space="0" w:color="C0C0C0"/>
              <w:right w:val="double" w:sz="6" w:space="0" w:color="C0C0C0"/>
            </w:tcBorders>
            <w:shd w:val="clear" w:color="auto" w:fill="FFFFFF"/>
            <w:tcMar>
              <w:top w:w="45" w:type="dxa"/>
              <w:left w:w="90" w:type="dxa"/>
              <w:bottom w:w="45" w:type="dxa"/>
              <w:right w:w="90" w:type="dxa"/>
            </w:tcMar>
          </w:tcPr>
          <w:p w14:paraId="3FB3FE7C" w14:textId="77777777" w:rsidR="007A1336" w:rsidRPr="007A1336" w:rsidRDefault="007A1336" w:rsidP="007A1336">
            <w:pPr>
              <w:spacing w:line="300" w:lineRule="exact"/>
              <w:rPr>
                <w:rFonts w:asciiTheme="minorHAnsi" w:hAnsiTheme="minorHAnsi"/>
                <w:b/>
                <w:sz w:val="22"/>
                <w:szCs w:val="22"/>
              </w:rPr>
            </w:pPr>
            <w:r w:rsidRPr="007A1336">
              <w:rPr>
                <w:rFonts w:asciiTheme="minorHAnsi" w:hAnsiTheme="minorHAnsi"/>
                <w:b/>
                <w:sz w:val="22"/>
                <w:szCs w:val="22"/>
              </w:rPr>
              <w:t>Citation:</w:t>
            </w:r>
          </w:p>
          <w:p w14:paraId="7736ABE4"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 xml:space="preserve">Trevor, C.O., Lansford, B. and Black, J.W. (2014) ‘Employee turnover and job performance: monitoring the influences of salary growth and promotion’, </w:t>
            </w:r>
            <w:r w:rsidRPr="007A1336">
              <w:rPr>
                <w:rFonts w:asciiTheme="minorHAnsi" w:hAnsiTheme="minorHAnsi"/>
                <w:i/>
                <w:sz w:val="22"/>
                <w:szCs w:val="22"/>
              </w:rPr>
              <w:t>Journal of Armchair Psychology</w:t>
            </w:r>
            <w:r w:rsidRPr="007A1336">
              <w:rPr>
                <w:rFonts w:asciiTheme="minorHAnsi" w:hAnsiTheme="minorHAnsi"/>
                <w:sz w:val="22"/>
                <w:szCs w:val="22"/>
              </w:rPr>
              <w:t xml:space="preserve">, </w:t>
            </w:r>
            <w:r w:rsidRPr="007A1336">
              <w:rPr>
                <w:rFonts w:asciiTheme="minorHAnsi" w:hAnsiTheme="minorHAnsi"/>
                <w:bCs/>
                <w:sz w:val="22"/>
                <w:szCs w:val="22"/>
              </w:rPr>
              <w:lastRenderedPageBreak/>
              <w:t>113</w:t>
            </w:r>
            <w:r w:rsidRPr="007A1336">
              <w:rPr>
                <w:rFonts w:asciiTheme="minorHAnsi" w:hAnsiTheme="minorHAnsi"/>
                <w:sz w:val="22"/>
                <w:szCs w:val="22"/>
              </w:rPr>
              <w:t>(1), pp. 56-64.</w:t>
            </w:r>
          </w:p>
          <w:p w14:paraId="076D49A9" w14:textId="77777777" w:rsidR="007A1336" w:rsidRPr="007A1336" w:rsidRDefault="007A1336" w:rsidP="007A1336">
            <w:pPr>
              <w:spacing w:line="300" w:lineRule="exact"/>
              <w:rPr>
                <w:rFonts w:asciiTheme="minorHAnsi" w:hAnsiTheme="minorHAnsi"/>
                <w:sz w:val="22"/>
                <w:szCs w:val="22"/>
              </w:rPr>
            </w:pPr>
          </w:p>
          <w:p w14:paraId="06AF8761"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In this article, the authors review the influences of pay and job opportunities in respect to job performance, turnover rates and employee motivation. The authors use data gained through organisational surveys of blue-chip companies to try to identify the main causes of employee turnover and whether it is linked to salary growth. Their research focuses on assessing a range of pay structures such as pay for performance and organisational reward schemes.</w:t>
            </w:r>
          </w:p>
          <w:p w14:paraId="16E94372" w14:textId="77777777" w:rsidR="007A1336" w:rsidRPr="007A1336" w:rsidRDefault="007A1336" w:rsidP="007A1336">
            <w:pPr>
              <w:spacing w:line="300" w:lineRule="exact"/>
              <w:rPr>
                <w:rFonts w:asciiTheme="minorHAnsi" w:hAnsiTheme="minorHAnsi"/>
                <w:sz w:val="22"/>
                <w:szCs w:val="22"/>
              </w:rPr>
            </w:pPr>
          </w:p>
          <w:p w14:paraId="0DCD3087"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 xml:space="preserve">The article is useful to my research topic, as Trevor </w:t>
            </w:r>
            <w:r w:rsidRPr="007A1336">
              <w:rPr>
                <w:rFonts w:asciiTheme="minorHAnsi" w:hAnsiTheme="minorHAnsi"/>
                <w:i/>
                <w:sz w:val="22"/>
                <w:szCs w:val="22"/>
              </w:rPr>
              <w:t>et al</w:t>
            </w:r>
            <w:r w:rsidRPr="007A1336">
              <w:rPr>
                <w:rFonts w:asciiTheme="minorHAnsi" w:hAnsiTheme="minorHAnsi"/>
                <w:sz w:val="22"/>
                <w:szCs w:val="22"/>
              </w:rPr>
              <w:t xml:space="preserve">. suggest that there are numerous reasons for employee turnover and variances in employee motivation and performance. Their findings and conclusions highlight the correlation between high staff turnover, poor performance levels and low staff morale.  </w:t>
            </w:r>
          </w:p>
          <w:p w14:paraId="13CB62CB" w14:textId="77777777" w:rsidR="007A1336" w:rsidRPr="007A1336" w:rsidRDefault="007A1336" w:rsidP="007A1336">
            <w:pPr>
              <w:spacing w:line="300" w:lineRule="exact"/>
              <w:rPr>
                <w:rFonts w:asciiTheme="minorHAnsi" w:hAnsiTheme="minorHAnsi"/>
                <w:sz w:val="22"/>
                <w:szCs w:val="22"/>
              </w:rPr>
            </w:pPr>
          </w:p>
          <w:p w14:paraId="7C99BE9D" w14:textId="77777777"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 xml:space="preserve">The main limitation of the article is that the survey sample was restricted to mid-level management, thus the authors indicate that further, more extensive, research needs to be undertaken to develop a more in-depth understanding of employee turnover and job performance. This article will not form the basis of my research; </w:t>
            </w:r>
            <w:proofErr w:type="gramStart"/>
            <w:r w:rsidRPr="007A1336">
              <w:rPr>
                <w:rFonts w:asciiTheme="minorHAnsi" w:hAnsiTheme="minorHAnsi"/>
                <w:sz w:val="22"/>
                <w:szCs w:val="22"/>
              </w:rPr>
              <w:t>however</w:t>
            </w:r>
            <w:proofErr w:type="gramEnd"/>
            <w:r w:rsidRPr="007A1336">
              <w:rPr>
                <w:rFonts w:asciiTheme="minorHAnsi" w:hAnsiTheme="minorHAnsi"/>
                <w:sz w:val="22"/>
                <w:szCs w:val="22"/>
              </w:rPr>
              <w:t xml:space="preserve"> it will be useful supplementary information for my research on pay structures.</w:t>
            </w:r>
          </w:p>
          <w:p w14:paraId="31328812" w14:textId="77777777" w:rsidR="007A1336" w:rsidRPr="007A1336" w:rsidRDefault="007A1336" w:rsidP="007A1336">
            <w:pPr>
              <w:spacing w:line="300" w:lineRule="exact"/>
              <w:rPr>
                <w:rFonts w:asciiTheme="minorHAnsi" w:hAnsiTheme="minorHAnsi"/>
                <w:sz w:val="22"/>
                <w:szCs w:val="22"/>
              </w:rPr>
            </w:pPr>
          </w:p>
        </w:tc>
      </w:tr>
    </w:tbl>
    <w:p w14:paraId="2159B00E" w14:textId="77777777" w:rsidR="007A1336" w:rsidRPr="007A1336" w:rsidRDefault="007A1336" w:rsidP="007A1336">
      <w:pPr>
        <w:spacing w:line="300" w:lineRule="exact"/>
        <w:rPr>
          <w:rFonts w:asciiTheme="minorHAnsi" w:hAnsiTheme="minorHAnsi"/>
          <w:sz w:val="22"/>
          <w:szCs w:val="22"/>
        </w:rPr>
      </w:pPr>
    </w:p>
    <w:p w14:paraId="55E11C8B" w14:textId="77777777" w:rsidR="001B2763" w:rsidRDefault="001B2763" w:rsidP="007A1336">
      <w:pPr>
        <w:spacing w:line="300" w:lineRule="exact"/>
        <w:rPr>
          <w:rFonts w:asciiTheme="minorHAnsi" w:hAnsiTheme="minorHAnsi"/>
          <w:sz w:val="22"/>
          <w:szCs w:val="22"/>
        </w:rPr>
      </w:pPr>
    </w:p>
    <w:p w14:paraId="5CD17C2F" w14:textId="30C6CE32" w:rsidR="007A1336" w:rsidRPr="007A1336" w:rsidRDefault="001B2763" w:rsidP="007A1336">
      <w:pPr>
        <w:spacing w:line="300" w:lineRule="exact"/>
        <w:rPr>
          <w:rFonts w:asciiTheme="minorHAnsi" w:hAnsiTheme="minorHAnsi"/>
          <w:sz w:val="22"/>
          <w:szCs w:val="22"/>
        </w:rPr>
      </w:pPr>
      <w:r>
        <w:rPr>
          <w:rFonts w:ascii="Aptos SemiBold" w:hAnsi="Aptos SemiBold"/>
          <w:bCs/>
          <w:color w:val="505D7C"/>
          <w:spacing w:val="-6"/>
          <w:sz w:val="28"/>
          <w:szCs w:val="28"/>
        </w:rPr>
        <w:t>Help and Advice</w:t>
      </w:r>
    </w:p>
    <w:p w14:paraId="7C410822" w14:textId="77777777" w:rsidR="001B2763" w:rsidRDefault="001B2763" w:rsidP="007A1336">
      <w:pPr>
        <w:spacing w:line="300" w:lineRule="exact"/>
        <w:rPr>
          <w:rFonts w:asciiTheme="minorHAnsi" w:hAnsiTheme="minorHAnsi"/>
          <w:sz w:val="22"/>
          <w:szCs w:val="22"/>
        </w:rPr>
      </w:pPr>
    </w:p>
    <w:p w14:paraId="6B95FC73" w14:textId="3810EC2B" w:rsidR="007A1336" w:rsidRPr="007A1336" w:rsidRDefault="007A1336" w:rsidP="007A1336">
      <w:pPr>
        <w:spacing w:line="300" w:lineRule="exact"/>
        <w:rPr>
          <w:rFonts w:asciiTheme="minorHAnsi" w:hAnsiTheme="minorHAnsi"/>
          <w:sz w:val="22"/>
          <w:szCs w:val="22"/>
        </w:rPr>
      </w:pPr>
      <w:r w:rsidRPr="007A1336">
        <w:rPr>
          <w:rFonts w:asciiTheme="minorHAnsi" w:hAnsiTheme="minorHAnsi"/>
          <w:sz w:val="22"/>
          <w:szCs w:val="22"/>
        </w:rPr>
        <w:t xml:space="preserve">For more details about the type of help that is available please refer to the </w:t>
      </w:r>
      <w:hyperlink r:id="rId15" w:history="1">
        <w:r w:rsidRPr="007A1336">
          <w:rPr>
            <w:rStyle w:val="Hyperlink"/>
            <w:rFonts w:asciiTheme="minorHAnsi" w:hAnsiTheme="minorHAnsi"/>
            <w:sz w:val="22"/>
            <w:szCs w:val="22"/>
          </w:rPr>
          <w:t>Skills for Learning</w:t>
        </w:r>
      </w:hyperlink>
      <w:r w:rsidRPr="007A1336">
        <w:rPr>
          <w:rFonts w:asciiTheme="minorHAnsi" w:hAnsiTheme="minorHAnsi"/>
          <w:sz w:val="22"/>
          <w:szCs w:val="22"/>
        </w:rPr>
        <w:t xml:space="preserve"> website. </w:t>
      </w:r>
    </w:p>
    <w:p w14:paraId="7402BEC3" w14:textId="77777777" w:rsidR="007A1336" w:rsidRPr="007A1336" w:rsidRDefault="007A1336" w:rsidP="007A1336">
      <w:pPr>
        <w:spacing w:line="300" w:lineRule="exact"/>
        <w:rPr>
          <w:rFonts w:asciiTheme="minorHAnsi" w:hAnsiTheme="minorHAnsi"/>
          <w:b/>
          <w:sz w:val="22"/>
          <w:szCs w:val="22"/>
        </w:rPr>
      </w:pPr>
    </w:p>
    <w:p w14:paraId="285D29C4" w14:textId="77777777" w:rsidR="007A1336" w:rsidRPr="007A1336" w:rsidRDefault="007A1336" w:rsidP="007A1336">
      <w:pPr>
        <w:spacing w:line="300" w:lineRule="exact"/>
        <w:rPr>
          <w:rFonts w:asciiTheme="minorHAnsi" w:hAnsiTheme="minorHAnsi"/>
          <w:b/>
          <w:sz w:val="22"/>
          <w:szCs w:val="22"/>
        </w:rPr>
      </w:pPr>
    </w:p>
    <w:p w14:paraId="3A26A434" w14:textId="1917FF79"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Default="00462E5D" w:rsidP="00BA0C4C">
      <w:pPr>
        <w:rPr>
          <w:rFonts w:ascii="Aptos Light" w:hAnsi="Aptos Light"/>
          <w:sz w:val="22"/>
          <w:szCs w:val="22"/>
        </w:rPr>
      </w:pPr>
    </w:p>
    <w:p w14:paraId="66E63B87" w14:textId="77777777" w:rsidR="001B2763" w:rsidRDefault="001B2763" w:rsidP="00BA0C4C">
      <w:pPr>
        <w:rPr>
          <w:rFonts w:ascii="Aptos Light" w:hAnsi="Aptos Light"/>
          <w:sz w:val="22"/>
          <w:szCs w:val="22"/>
        </w:rPr>
      </w:pPr>
    </w:p>
    <w:p w14:paraId="26E93F9D" w14:textId="77777777" w:rsidR="001B2763" w:rsidRDefault="001B2763" w:rsidP="00BA0C4C">
      <w:pPr>
        <w:rPr>
          <w:rFonts w:ascii="Aptos Light" w:hAnsi="Aptos Light"/>
          <w:sz w:val="22"/>
          <w:szCs w:val="22"/>
        </w:rPr>
      </w:pPr>
    </w:p>
    <w:p w14:paraId="1F19DC3F" w14:textId="77777777" w:rsidR="001B2763" w:rsidRPr="005B5565" w:rsidRDefault="001B2763"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6">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1977EA4E"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7A1336">
        <w:rPr>
          <w:rFonts w:ascii="Aptos Light" w:hAnsi="Aptos Light"/>
          <w:i/>
          <w:iCs/>
          <w:sz w:val="22"/>
          <w:szCs w:val="22"/>
        </w:rPr>
        <w:t>Guide to Writing an Annotated Bibliography</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7" w:history="1">
        <w:r w:rsidRPr="005B5565">
          <w:rPr>
            <w:rStyle w:val="Internetlink"/>
            <w:rFonts w:ascii="Aptos Light" w:hAnsi="Aptos Light"/>
            <w:sz w:val="22"/>
            <w:szCs w:val="22"/>
          </w:rPr>
          <w:t>skills@wlv.libanswers.com</w:t>
        </w:r>
      </w:hyperlink>
    </w:p>
    <w:sectPr w:rsidR="00462E5D" w:rsidRPr="005B5565" w:rsidSect="004C6DBC">
      <w:footerReference w:type="default" r:id="rId18"/>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A81DA" w14:textId="77777777" w:rsidR="008C3436" w:rsidRDefault="008C3436">
      <w:r>
        <w:separator/>
      </w:r>
    </w:p>
  </w:endnote>
  <w:endnote w:type="continuationSeparator" w:id="0">
    <w:p w14:paraId="03D9B684" w14:textId="77777777" w:rsidR="008C3436" w:rsidRDefault="008C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5673AF36" w:rsidR="003810F4" w:rsidRDefault="003810F4" w:rsidP="004D4633">
          <w:pPr>
            <w:pStyle w:val="Footer"/>
          </w:pPr>
          <w:r>
            <w:rPr>
              <w:sz w:val="18"/>
              <w:szCs w:val="18"/>
            </w:rPr>
            <w:t>Ref: LS</w:t>
          </w:r>
          <w:r w:rsidR="007A1336">
            <w:rPr>
              <w:sz w:val="18"/>
              <w:szCs w:val="18"/>
            </w:rPr>
            <w:t>136</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7A7BB" w14:textId="77777777" w:rsidR="008C3436" w:rsidRDefault="008C3436">
      <w:r>
        <w:rPr>
          <w:color w:val="000000"/>
        </w:rPr>
        <w:separator/>
      </w:r>
    </w:p>
  </w:footnote>
  <w:footnote w:type="continuationSeparator" w:id="0">
    <w:p w14:paraId="2B9D4990" w14:textId="77777777" w:rsidR="008C3436" w:rsidRDefault="008C3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 w:numId="10" w16cid:durableId="1567715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46325"/>
    <w:rsid w:val="00055AF1"/>
    <w:rsid w:val="0005782B"/>
    <w:rsid w:val="00096621"/>
    <w:rsid w:val="000C67BD"/>
    <w:rsid w:val="001A63AB"/>
    <w:rsid w:val="001B12F1"/>
    <w:rsid w:val="001B2763"/>
    <w:rsid w:val="002064EE"/>
    <w:rsid w:val="00212A32"/>
    <w:rsid w:val="00221981"/>
    <w:rsid w:val="00366F1C"/>
    <w:rsid w:val="00374DAE"/>
    <w:rsid w:val="003810F4"/>
    <w:rsid w:val="003934CE"/>
    <w:rsid w:val="00407D14"/>
    <w:rsid w:val="00462E5D"/>
    <w:rsid w:val="00487796"/>
    <w:rsid w:val="004A0B1E"/>
    <w:rsid w:val="004C6DBC"/>
    <w:rsid w:val="004D4633"/>
    <w:rsid w:val="005B5565"/>
    <w:rsid w:val="00612B9D"/>
    <w:rsid w:val="00621611"/>
    <w:rsid w:val="00646707"/>
    <w:rsid w:val="00703577"/>
    <w:rsid w:val="0070774C"/>
    <w:rsid w:val="007A1336"/>
    <w:rsid w:val="007C6EA7"/>
    <w:rsid w:val="007E2476"/>
    <w:rsid w:val="007E734D"/>
    <w:rsid w:val="007F2C89"/>
    <w:rsid w:val="008C3436"/>
    <w:rsid w:val="008D07DD"/>
    <w:rsid w:val="00932EEE"/>
    <w:rsid w:val="009444D2"/>
    <w:rsid w:val="009E44C3"/>
    <w:rsid w:val="009E5501"/>
    <w:rsid w:val="00A1552E"/>
    <w:rsid w:val="00A53264"/>
    <w:rsid w:val="00AA2650"/>
    <w:rsid w:val="00AD2F7E"/>
    <w:rsid w:val="00AD721D"/>
    <w:rsid w:val="00B94C0C"/>
    <w:rsid w:val="00BA0C4C"/>
    <w:rsid w:val="00C27371"/>
    <w:rsid w:val="00C36BCA"/>
    <w:rsid w:val="00D22C5E"/>
    <w:rsid w:val="00D41051"/>
    <w:rsid w:val="00D91119"/>
    <w:rsid w:val="00DD4E1A"/>
    <w:rsid w:val="00DF1655"/>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33942">
      <w:bodyDiv w:val="1"/>
      <w:marLeft w:val="0"/>
      <w:marRight w:val="0"/>
      <w:marTop w:val="0"/>
      <w:marBottom w:val="0"/>
      <w:divBdr>
        <w:top w:val="none" w:sz="0" w:space="0" w:color="auto"/>
        <w:left w:val="none" w:sz="0" w:space="0" w:color="auto"/>
        <w:bottom w:val="none" w:sz="0" w:space="0" w:color="auto"/>
        <w:right w:val="none" w:sz="0" w:space="0" w:color="auto"/>
      </w:divBdr>
    </w:div>
    <w:div w:id="1765027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skills@wlv.libanswer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lv.ac.uk/skil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lib/skills-for-learning/refere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2024-09-26T10:56:00Z</dcterms:created>
  <dcterms:modified xsi:type="dcterms:W3CDTF">2024-09-26T11:00:00Z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