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60" w:rsidRPr="005129EA" w:rsidRDefault="008F3FC2" w:rsidP="005129E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129EA">
        <w:rPr>
          <w:b/>
          <w:sz w:val="40"/>
          <w:szCs w:val="40"/>
        </w:rPr>
        <w:t>WIRE Statement of Purpose and Policies</w:t>
      </w:r>
    </w:p>
    <w:p w:rsidR="008F3FC2" w:rsidRPr="005129EA" w:rsidRDefault="008F3FC2" w:rsidP="005129EA">
      <w:pPr>
        <w:jc w:val="center"/>
        <w:rPr>
          <w:sz w:val="22"/>
          <w:szCs w:val="22"/>
        </w:rPr>
      </w:pPr>
      <w:r w:rsidRPr="005129EA">
        <w:rPr>
          <w:i/>
          <w:sz w:val="22"/>
          <w:szCs w:val="22"/>
        </w:rPr>
        <w:t>Open Access (OA) Mandate Addition</w:t>
      </w:r>
      <w:r w:rsidR="005129EA" w:rsidRPr="005129EA">
        <w:rPr>
          <w:i/>
          <w:sz w:val="22"/>
          <w:szCs w:val="22"/>
        </w:rPr>
        <w:t xml:space="preserve"> </w:t>
      </w:r>
      <w:r w:rsidRPr="005129EA">
        <w:rPr>
          <w:i/>
          <w:sz w:val="22"/>
          <w:szCs w:val="22"/>
        </w:rPr>
        <w:t>(Revised March 2013)</w:t>
      </w:r>
    </w:p>
    <w:p w:rsidR="008F3FC2" w:rsidRDefault="008F3FC2" w:rsidP="005129EA">
      <w:pPr>
        <w:jc w:val="center"/>
      </w:pPr>
    </w:p>
    <w:p w:rsidR="008F3FC2" w:rsidRDefault="008F3FC2" w:rsidP="005129EA">
      <w:pPr>
        <w:jc w:val="center"/>
      </w:pPr>
      <w:r>
        <w:t xml:space="preserve">OAI Base URL: </w:t>
      </w:r>
      <w:hyperlink r:id="rId9" w:history="1">
        <w:r w:rsidRPr="00A4010D">
          <w:rPr>
            <w:rStyle w:val="Hyperlink"/>
          </w:rPr>
          <w:t>http://wlv.openrepository.com/wlv/</w:t>
        </w:r>
      </w:hyperlink>
    </w:p>
    <w:p w:rsidR="008F3FC2" w:rsidRDefault="008F3FC2"/>
    <w:p w:rsidR="009D44E6" w:rsidRPr="001863EB" w:rsidRDefault="001863EB">
      <w:pPr>
        <w:rPr>
          <w:sz w:val="28"/>
          <w:szCs w:val="28"/>
        </w:rPr>
      </w:pPr>
      <w:r w:rsidRPr="001863EB">
        <w:rPr>
          <w:sz w:val="28"/>
          <w:szCs w:val="28"/>
        </w:rPr>
        <w:t>WIRE</w:t>
      </w:r>
    </w:p>
    <w:p w:rsidR="001863EB" w:rsidRDefault="001863EB" w:rsidP="00836093">
      <w:pPr>
        <w:pStyle w:val="Default"/>
        <w:jc w:val="both"/>
      </w:pPr>
    </w:p>
    <w:p w:rsidR="009924CA" w:rsidRDefault="009D44E6" w:rsidP="00836093">
      <w:pPr>
        <w:pStyle w:val="Default"/>
        <w:jc w:val="both"/>
      </w:pPr>
      <w:r>
        <w:t>Research is a key activity for the University of Wolverhampton</w:t>
      </w:r>
      <w:r w:rsidR="001D75A6">
        <w:t xml:space="preserve">. The University is </w:t>
      </w:r>
      <w:r w:rsidR="009538DE">
        <w:t>‘</w:t>
      </w:r>
      <w:r w:rsidR="001D75A6">
        <w:t xml:space="preserve">committed to </w:t>
      </w:r>
      <w:r w:rsidR="001D75A6">
        <w:rPr>
          <w:sz w:val="23"/>
          <w:szCs w:val="23"/>
        </w:rPr>
        <w:t>the transfer of our intellectual capital beyond our academic boundaries</w:t>
      </w:r>
      <w:r w:rsidR="009538DE">
        <w:rPr>
          <w:sz w:val="23"/>
          <w:szCs w:val="23"/>
        </w:rPr>
        <w:t>’</w:t>
      </w:r>
      <w:r w:rsidR="001D75A6">
        <w:rPr>
          <w:rStyle w:val="EndnoteReference"/>
        </w:rPr>
        <w:endnoteReference w:id="1"/>
      </w:r>
      <w:r w:rsidR="001D75A6">
        <w:t>. The Wolverhampton Intellectual</w:t>
      </w:r>
      <w:r w:rsidR="009924CA">
        <w:t xml:space="preserve"> Repository and E-Theses (WIRE), </w:t>
      </w:r>
      <w:r w:rsidR="001D75A6">
        <w:t>launched in May 2006</w:t>
      </w:r>
      <w:r w:rsidR="009924CA">
        <w:t xml:space="preserve">, is an open access </w:t>
      </w:r>
      <w:r w:rsidR="00F27145">
        <w:t xml:space="preserve">(OA) </w:t>
      </w:r>
      <w:r w:rsidR="009924CA">
        <w:t>repository intended</w:t>
      </w:r>
      <w:r w:rsidR="001D75A6">
        <w:t xml:space="preserve"> to maximise the visibility, usage and impact of </w:t>
      </w:r>
      <w:r w:rsidR="009924CA">
        <w:t>the University’s</w:t>
      </w:r>
      <w:r w:rsidR="001D75A6">
        <w:t xml:space="preserve"> research output</w:t>
      </w:r>
      <w:r w:rsidR="009924CA" w:rsidRPr="009924CA">
        <w:t xml:space="preserve"> </w:t>
      </w:r>
      <w:r w:rsidR="009924CA">
        <w:rPr>
          <w:sz w:val="23"/>
          <w:szCs w:val="23"/>
        </w:rPr>
        <w:t xml:space="preserve">upon </w:t>
      </w:r>
      <w:r w:rsidR="009538DE">
        <w:rPr>
          <w:sz w:val="23"/>
          <w:szCs w:val="23"/>
        </w:rPr>
        <w:t>‘</w:t>
      </w:r>
      <w:r w:rsidR="009924CA">
        <w:rPr>
          <w:sz w:val="23"/>
          <w:szCs w:val="23"/>
        </w:rPr>
        <w:t>industry, business, the professions and society</w:t>
      </w:r>
      <w:r w:rsidR="009538DE">
        <w:rPr>
          <w:sz w:val="23"/>
          <w:szCs w:val="23"/>
        </w:rPr>
        <w:t>’</w:t>
      </w:r>
      <w:r w:rsidR="009538DE">
        <w:rPr>
          <w:rStyle w:val="EndnoteReference"/>
          <w:sz w:val="23"/>
          <w:szCs w:val="23"/>
        </w:rPr>
        <w:endnoteReference w:id="2"/>
      </w:r>
      <w:r w:rsidR="001D75A6">
        <w:t xml:space="preserve">. </w:t>
      </w:r>
    </w:p>
    <w:p w:rsidR="001863EB" w:rsidRDefault="001863EB" w:rsidP="00836093">
      <w:pPr>
        <w:pStyle w:val="Default"/>
        <w:jc w:val="both"/>
      </w:pPr>
    </w:p>
    <w:p w:rsidR="001863EB" w:rsidRPr="001863EB" w:rsidRDefault="001863EB" w:rsidP="001863EB">
      <w:pPr>
        <w:pStyle w:val="Default"/>
        <w:jc w:val="both"/>
      </w:pPr>
      <w:r w:rsidRPr="001863EB">
        <w:t>WIRE share</w:t>
      </w:r>
      <w:r>
        <w:t>s</w:t>
      </w:r>
      <w:r w:rsidRPr="001863EB">
        <w:t xml:space="preserve"> its metadata records about the content it holds with search services which allow users to search across multiple repositories. </w:t>
      </w:r>
      <w:r w:rsidR="00580C16" w:rsidRPr="001863EB">
        <w:t xml:space="preserve">Its contents </w:t>
      </w:r>
      <w:r w:rsidR="00580C16">
        <w:t>are</w:t>
      </w:r>
      <w:r w:rsidRPr="001863EB">
        <w:t xml:space="preserve"> also indexed by Google and other search engines.</w:t>
      </w:r>
    </w:p>
    <w:p w:rsidR="001863EB" w:rsidRDefault="001863EB" w:rsidP="009924CA">
      <w:pPr>
        <w:pStyle w:val="Default"/>
      </w:pPr>
    </w:p>
    <w:p w:rsidR="001863EB" w:rsidRDefault="001863EB" w:rsidP="00515735">
      <w:pPr>
        <w:pStyle w:val="Default"/>
        <w:rPr>
          <w:sz w:val="28"/>
          <w:szCs w:val="28"/>
        </w:rPr>
      </w:pPr>
      <w:r w:rsidRPr="001863EB">
        <w:rPr>
          <w:sz w:val="28"/>
          <w:szCs w:val="28"/>
        </w:rPr>
        <w:t>What is Open Access</w:t>
      </w:r>
    </w:p>
    <w:p w:rsidR="001863EB" w:rsidRPr="001863EB" w:rsidRDefault="001863EB" w:rsidP="00515735">
      <w:pPr>
        <w:pStyle w:val="Default"/>
        <w:rPr>
          <w:sz w:val="28"/>
          <w:szCs w:val="28"/>
        </w:rPr>
      </w:pPr>
    </w:p>
    <w:p w:rsidR="00515735" w:rsidRDefault="001F5F95" w:rsidP="00515735">
      <w:pPr>
        <w:pStyle w:val="Default"/>
      </w:pPr>
      <w:r>
        <w:t>The Research Councils define</w:t>
      </w:r>
      <w:r w:rsidR="00515735">
        <w:rPr>
          <w:rStyle w:val="EndnoteReference"/>
        </w:rPr>
        <w:endnoteReference w:id="3"/>
      </w:r>
      <w:r>
        <w:t xml:space="preserve"> OA </w:t>
      </w:r>
      <w:r w:rsidR="00580C16">
        <w:t>as</w:t>
      </w:r>
      <w:r w:rsidR="00515735" w:rsidRPr="00515735">
        <w:t xml:space="preserve"> unrestricted, on-line access to peer-reviewed and published scholarly research papers. Specifically a user must be able to do the following free of any access charge: </w:t>
      </w:r>
    </w:p>
    <w:p w:rsidR="00305024" w:rsidRPr="00515735" w:rsidRDefault="00305024" w:rsidP="00515735">
      <w:pPr>
        <w:pStyle w:val="Default"/>
      </w:pPr>
    </w:p>
    <w:p w:rsidR="00515735" w:rsidRPr="00305024" w:rsidRDefault="00515735" w:rsidP="005157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5024">
        <w:rPr>
          <w:rFonts w:asciiTheme="minorHAnsi" w:hAnsiTheme="minorHAnsi" w:cstheme="minorHAnsi"/>
        </w:rPr>
        <w:t xml:space="preserve">Read published papers in an electronic format; </w:t>
      </w:r>
    </w:p>
    <w:p w:rsidR="00515735" w:rsidRPr="00305024" w:rsidRDefault="00515735" w:rsidP="005157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5024">
        <w:rPr>
          <w:rFonts w:asciiTheme="minorHAnsi" w:hAnsiTheme="minorHAnsi" w:cstheme="minorHAnsi"/>
        </w:rPr>
        <w:t xml:space="preserve">Search for and re-use the content of published papers both manually and using automated tools (such as those for text and data mining) provided that any such re-use is subject to full and proper attribution and does not infringe any copyrights to third-party material included in the paper. </w:t>
      </w:r>
    </w:p>
    <w:p w:rsidR="001863EB" w:rsidRDefault="001863EB" w:rsidP="00305024">
      <w:pPr>
        <w:jc w:val="both"/>
      </w:pPr>
    </w:p>
    <w:p w:rsidR="001863EB" w:rsidRDefault="00305024" w:rsidP="001863EB">
      <w:pPr>
        <w:spacing w:before="100" w:beforeAutospacing="1" w:after="100" w:afterAutospacing="1"/>
        <w:outlineLvl w:val="1"/>
        <w:rPr>
          <w:rFonts w:ascii="Calibri" w:hAnsi="Calibri" w:cs="Calibri"/>
          <w:color w:val="000000"/>
          <w:sz w:val="28"/>
          <w:szCs w:val="28"/>
          <w:lang w:eastAsia="en-GB"/>
        </w:rPr>
      </w:pPr>
      <w:r w:rsidRPr="001863EB">
        <w:rPr>
          <w:rFonts w:ascii="Calibri" w:hAnsi="Calibri" w:cs="Calibri"/>
          <w:color w:val="000000"/>
          <w:sz w:val="28"/>
          <w:szCs w:val="28"/>
          <w:lang w:eastAsia="en-GB"/>
        </w:rPr>
        <w:t>Benefits from Open Access</w:t>
      </w:r>
      <w:r w:rsidRPr="00305024">
        <w:rPr>
          <w:rFonts w:ascii="Calibri" w:hAnsi="Calibri" w:cs="Calibri"/>
          <w:color w:val="000000"/>
          <w:sz w:val="28"/>
          <w:szCs w:val="28"/>
          <w:lang w:eastAsia="en-GB"/>
        </w:rPr>
        <w:t xml:space="preserve"> </w:t>
      </w:r>
    </w:p>
    <w:p w:rsidR="00305024" w:rsidRDefault="00305024" w:rsidP="001863EB">
      <w:pPr>
        <w:spacing w:before="100" w:beforeAutospacing="1" w:after="100" w:afterAutospacing="1"/>
        <w:outlineLvl w:val="1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 xml:space="preserve">For </w:t>
      </w:r>
      <w:r w:rsidRPr="00305024">
        <w:rPr>
          <w:rFonts w:ascii="Calibri" w:hAnsi="Calibri" w:cs="Calibri"/>
          <w:color w:val="000000"/>
          <w:lang w:eastAsia="en-GB"/>
        </w:rPr>
        <w:t>Researchers</w:t>
      </w:r>
      <w:r>
        <w:rPr>
          <w:rFonts w:ascii="Calibri" w:hAnsi="Calibri" w:cs="Calibri"/>
          <w:color w:val="000000"/>
          <w:lang w:eastAsia="en-GB"/>
        </w:rPr>
        <w:t>: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after="240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Increases readers’ ability to find and use relevant literature 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before="240" w:after="100" w:afterAutospacing="1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Increases the visibility, readership and impact of author’s works 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before="240" w:after="100" w:afterAutospacing="1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Creates new avenues for discovery in </w:t>
      </w:r>
      <w:r w:rsidR="00225349">
        <w:rPr>
          <w:rFonts w:ascii="Calibri" w:hAnsi="Calibri" w:cs="Calibri"/>
          <w:color w:val="000000"/>
          <w:lang w:eastAsia="en-GB"/>
        </w:rPr>
        <w:t xml:space="preserve">the </w:t>
      </w:r>
      <w:r w:rsidRPr="00305024">
        <w:rPr>
          <w:rFonts w:ascii="Calibri" w:hAnsi="Calibri" w:cs="Calibri"/>
          <w:color w:val="000000"/>
          <w:lang w:eastAsia="en-GB"/>
        </w:rPr>
        <w:t xml:space="preserve">digital environment 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before="240" w:after="100" w:afterAutospacing="1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Enhances interdisciplinary research 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before="240" w:after="100" w:afterAutospacing="1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Accelerates the pace of research, discovery and innovation </w:t>
      </w:r>
    </w:p>
    <w:p w:rsidR="00305024" w:rsidRPr="00305024" w:rsidRDefault="00305024" w:rsidP="00305024">
      <w:pPr>
        <w:spacing w:after="240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>For the University:</w:t>
      </w:r>
      <w:r w:rsidRPr="00305024">
        <w:rPr>
          <w:rFonts w:ascii="Calibri" w:hAnsi="Calibri" w:cs="Calibri"/>
          <w:color w:val="000000"/>
          <w:lang w:eastAsia="en-GB"/>
        </w:rPr>
        <w:t xml:space="preserve"> 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after="240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Contributes to core mission of advancing knowledge 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after="240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Democratises access across all institutions 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after="240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Increases competitiveness of academic institutions </w:t>
      </w:r>
    </w:p>
    <w:p w:rsidR="00305024" w:rsidRPr="00305024" w:rsidRDefault="00305024" w:rsidP="00305024">
      <w:pPr>
        <w:spacing w:before="240" w:after="100" w:afterAutospacing="1"/>
        <w:ind w:left="360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lastRenderedPageBreak/>
        <w:t xml:space="preserve">For </w:t>
      </w:r>
      <w:r w:rsidRPr="00305024">
        <w:rPr>
          <w:rFonts w:ascii="Calibri" w:hAnsi="Calibri" w:cs="Calibri"/>
          <w:color w:val="000000"/>
          <w:lang w:eastAsia="en-GB"/>
        </w:rPr>
        <w:t>Students</w:t>
      </w:r>
      <w:r>
        <w:rPr>
          <w:rFonts w:ascii="Calibri" w:hAnsi="Calibri" w:cs="Calibri"/>
          <w:color w:val="000000"/>
          <w:lang w:eastAsia="en-GB"/>
        </w:rPr>
        <w:t>:</w:t>
      </w:r>
      <w:r w:rsidRPr="00305024">
        <w:rPr>
          <w:rFonts w:ascii="Calibri" w:hAnsi="Calibri" w:cs="Calibri"/>
          <w:color w:val="000000"/>
          <w:lang w:eastAsia="en-GB"/>
        </w:rPr>
        <w:t xml:space="preserve"> 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after="240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Enriches the quality of their education </w:t>
      </w:r>
    </w:p>
    <w:p w:rsidR="001863EB" w:rsidRDefault="001863EB" w:rsidP="00305024">
      <w:pPr>
        <w:spacing w:after="240"/>
        <w:rPr>
          <w:rFonts w:ascii="Calibri" w:hAnsi="Calibri" w:cs="Calibri"/>
          <w:color w:val="000000"/>
          <w:lang w:eastAsia="en-GB"/>
        </w:rPr>
      </w:pPr>
    </w:p>
    <w:p w:rsidR="00305024" w:rsidRPr="00305024" w:rsidRDefault="00305024" w:rsidP="00305024">
      <w:pPr>
        <w:spacing w:after="240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 xml:space="preserve">For </w:t>
      </w:r>
      <w:r w:rsidRPr="00305024">
        <w:rPr>
          <w:rFonts w:ascii="Calibri" w:hAnsi="Calibri" w:cs="Calibri"/>
          <w:color w:val="000000"/>
          <w:lang w:eastAsia="en-GB"/>
        </w:rPr>
        <w:t>Businesses</w:t>
      </w:r>
      <w:r>
        <w:rPr>
          <w:rFonts w:ascii="Calibri" w:hAnsi="Calibri" w:cs="Calibri"/>
          <w:color w:val="000000"/>
          <w:lang w:eastAsia="en-GB"/>
        </w:rPr>
        <w:t>: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after="240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Access to cutting-edge research encourages innovation 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after="240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Stimulates new ideas, new services, new products 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after="240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Creates new opportunities for job creation </w:t>
      </w:r>
    </w:p>
    <w:p w:rsidR="00305024" w:rsidRPr="00305024" w:rsidRDefault="001863EB" w:rsidP="00305024">
      <w:pPr>
        <w:spacing w:after="240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 xml:space="preserve">For The </w:t>
      </w:r>
      <w:r w:rsidR="00305024" w:rsidRPr="00305024">
        <w:rPr>
          <w:rFonts w:ascii="Calibri" w:hAnsi="Calibri" w:cs="Calibri"/>
          <w:color w:val="000000"/>
          <w:lang w:eastAsia="en-GB"/>
        </w:rPr>
        <w:t>Public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after="240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Provides access to previously unavailable materials </w:t>
      </w:r>
    </w:p>
    <w:p w:rsidR="00305024" w:rsidRDefault="00305024" w:rsidP="00305024">
      <w:pPr>
        <w:spacing w:before="240" w:after="100" w:afterAutospacing="1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>For Research Funders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after="240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Leverages return on research investment 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after="240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Avoids funding duplicative research 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after="240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Creates transparency </w:t>
      </w:r>
    </w:p>
    <w:p w:rsidR="00305024" w:rsidRPr="00305024" w:rsidRDefault="00305024" w:rsidP="00305024">
      <w:pPr>
        <w:pStyle w:val="ListParagraph"/>
        <w:numPr>
          <w:ilvl w:val="0"/>
          <w:numId w:val="8"/>
        </w:numPr>
        <w:spacing w:after="240"/>
        <w:rPr>
          <w:rFonts w:ascii="Calibri" w:hAnsi="Calibri" w:cs="Calibri"/>
          <w:color w:val="000000"/>
          <w:lang w:eastAsia="en-GB"/>
        </w:rPr>
      </w:pPr>
      <w:r w:rsidRPr="00305024">
        <w:rPr>
          <w:rFonts w:ascii="Calibri" w:hAnsi="Calibri" w:cs="Calibri"/>
          <w:color w:val="000000"/>
          <w:lang w:eastAsia="en-GB"/>
        </w:rPr>
        <w:t xml:space="preserve">Encourages greater interaction with results of funded research </w:t>
      </w:r>
    </w:p>
    <w:p w:rsidR="00305024" w:rsidRPr="00515735" w:rsidRDefault="00305024" w:rsidP="00305024">
      <w:pPr>
        <w:jc w:val="both"/>
      </w:pPr>
    </w:p>
    <w:p w:rsidR="001863EB" w:rsidRPr="001863EB" w:rsidRDefault="001863EB" w:rsidP="001863EB">
      <w:pPr>
        <w:spacing w:before="100" w:beforeAutospacing="1" w:after="100" w:afterAutospacing="1"/>
        <w:outlineLvl w:val="1"/>
        <w:rPr>
          <w:rFonts w:ascii="Calibri" w:hAnsi="Calibri" w:cs="Calibri"/>
          <w:color w:val="000000"/>
          <w:sz w:val="28"/>
          <w:szCs w:val="28"/>
          <w:lang w:eastAsia="en-GB"/>
        </w:rPr>
      </w:pPr>
      <w:r w:rsidRPr="001863EB">
        <w:rPr>
          <w:rFonts w:ascii="Calibri" w:hAnsi="Calibri" w:cs="Calibri"/>
          <w:color w:val="000000"/>
          <w:sz w:val="28"/>
          <w:szCs w:val="28"/>
          <w:lang w:eastAsia="en-GB"/>
        </w:rPr>
        <w:t>Mandate</w:t>
      </w:r>
      <w:r>
        <w:rPr>
          <w:rFonts w:ascii="Calibri" w:hAnsi="Calibri" w:cs="Calibri"/>
          <w:color w:val="000000"/>
          <w:sz w:val="28"/>
          <w:szCs w:val="28"/>
          <w:lang w:eastAsia="en-GB"/>
        </w:rPr>
        <w:t xml:space="preserve"> to Deposit</w:t>
      </w:r>
    </w:p>
    <w:p w:rsidR="005129EA" w:rsidRPr="00515735" w:rsidRDefault="005129EA" w:rsidP="00836093">
      <w:pPr>
        <w:jc w:val="both"/>
        <w:rPr>
          <w:rFonts w:ascii="Calibri" w:hAnsi="Calibri" w:cs="Calibri"/>
          <w:color w:val="000000"/>
          <w:lang w:eastAsia="en-GB"/>
        </w:rPr>
      </w:pPr>
      <w:r w:rsidRPr="00515735">
        <w:rPr>
          <w:rFonts w:ascii="Calibri" w:hAnsi="Calibri" w:cs="Calibri"/>
          <w:color w:val="000000"/>
          <w:lang w:eastAsia="en-GB"/>
        </w:rPr>
        <w:t xml:space="preserve">To facilitate </w:t>
      </w:r>
      <w:r w:rsidR="00F27145" w:rsidRPr="00515735">
        <w:rPr>
          <w:rFonts w:ascii="Calibri" w:hAnsi="Calibri" w:cs="Calibri"/>
          <w:color w:val="000000"/>
          <w:lang w:eastAsia="en-GB"/>
        </w:rPr>
        <w:t>the above the University mandates that all publications</w:t>
      </w:r>
      <w:r w:rsidR="00836093" w:rsidRPr="00515735">
        <w:rPr>
          <w:rFonts w:ascii="Calibri" w:hAnsi="Calibri" w:cs="Calibri"/>
          <w:color w:val="000000"/>
          <w:lang w:eastAsia="en-GB"/>
        </w:rPr>
        <w:t xml:space="preserve"> </w:t>
      </w:r>
      <w:r w:rsidR="00F27145" w:rsidRPr="00515735">
        <w:rPr>
          <w:rFonts w:ascii="Calibri" w:hAnsi="Calibri" w:cs="Calibri"/>
          <w:color w:val="000000"/>
          <w:lang w:eastAsia="en-GB"/>
        </w:rPr>
        <w:t>published on/after 1</w:t>
      </w:r>
      <w:r w:rsidR="00B97964" w:rsidRPr="00B97964">
        <w:rPr>
          <w:rFonts w:ascii="Calibri" w:hAnsi="Calibri" w:cs="Calibri"/>
          <w:color w:val="000000"/>
          <w:vertAlign w:val="superscript"/>
          <w:lang w:eastAsia="en-GB"/>
        </w:rPr>
        <w:t>st</w:t>
      </w:r>
      <w:r w:rsidR="00B97964">
        <w:rPr>
          <w:rFonts w:ascii="Calibri" w:hAnsi="Calibri" w:cs="Calibri"/>
          <w:color w:val="000000"/>
          <w:lang w:eastAsia="en-GB"/>
        </w:rPr>
        <w:t xml:space="preserve"> April </w:t>
      </w:r>
      <w:r w:rsidR="00CB03FE" w:rsidRPr="00515735">
        <w:rPr>
          <w:rFonts w:ascii="Calibri" w:hAnsi="Calibri" w:cs="Calibri"/>
          <w:color w:val="000000"/>
          <w:lang w:eastAsia="en-GB"/>
        </w:rPr>
        <w:t>2013</w:t>
      </w:r>
      <w:r w:rsidR="00F27145" w:rsidRPr="00515735">
        <w:rPr>
          <w:rFonts w:ascii="Calibri" w:hAnsi="Calibri" w:cs="Calibri"/>
          <w:color w:val="000000"/>
          <w:lang w:eastAsia="en-GB"/>
        </w:rPr>
        <w:t xml:space="preserve"> must be included </w:t>
      </w:r>
      <w:r w:rsidR="00836093" w:rsidRPr="00515735">
        <w:rPr>
          <w:rFonts w:ascii="Calibri" w:hAnsi="Calibri" w:cs="Calibri"/>
          <w:color w:val="000000"/>
          <w:lang w:eastAsia="en-GB"/>
        </w:rPr>
        <w:t xml:space="preserve">electronically </w:t>
      </w:r>
      <w:r w:rsidR="00F27145" w:rsidRPr="00515735">
        <w:rPr>
          <w:rFonts w:ascii="Calibri" w:hAnsi="Calibri" w:cs="Calibri"/>
          <w:color w:val="000000"/>
          <w:lang w:eastAsia="en-GB"/>
        </w:rPr>
        <w:t>in the f</w:t>
      </w:r>
      <w:r w:rsidR="00836093" w:rsidRPr="00515735">
        <w:rPr>
          <w:rFonts w:ascii="Calibri" w:hAnsi="Calibri" w:cs="Calibri"/>
          <w:color w:val="000000"/>
          <w:lang w:eastAsia="en-GB"/>
        </w:rPr>
        <w:t>ull-text form</w:t>
      </w:r>
      <w:r w:rsidR="001F5F95" w:rsidRPr="00515735">
        <w:rPr>
          <w:rFonts w:ascii="Calibri" w:hAnsi="Calibri" w:cs="Calibri"/>
          <w:color w:val="000000"/>
          <w:lang w:eastAsia="en-GB"/>
        </w:rPr>
        <w:t xml:space="preserve">, and made open access where this is permitted by the publisher, </w:t>
      </w:r>
      <w:r w:rsidR="00836093" w:rsidRPr="00515735">
        <w:rPr>
          <w:rFonts w:ascii="Calibri" w:hAnsi="Calibri" w:cs="Calibri"/>
          <w:color w:val="000000"/>
          <w:lang w:eastAsia="en-GB"/>
        </w:rPr>
        <w:t>in WIRE:</w:t>
      </w:r>
    </w:p>
    <w:p w:rsidR="00836093" w:rsidRDefault="00836093" w:rsidP="00836093">
      <w:pPr>
        <w:jc w:val="both"/>
      </w:pPr>
    </w:p>
    <w:p w:rsidR="00836093" w:rsidRPr="00C40990" w:rsidRDefault="00836093" w:rsidP="0083609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40990">
        <w:rPr>
          <w:rFonts w:asciiTheme="minorHAnsi" w:hAnsiTheme="minorHAnsi" w:cstheme="minorHAnsi"/>
        </w:rPr>
        <w:t>Authors may request an embargo period of up to 12 months. In this case publications should still be submitted to WIRE; they will be made visible automatically after the embargo period.</w:t>
      </w:r>
    </w:p>
    <w:p w:rsidR="00836093" w:rsidRPr="00C40990" w:rsidRDefault="00836093" w:rsidP="0083609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40990">
        <w:rPr>
          <w:rFonts w:asciiTheme="minorHAnsi" w:hAnsiTheme="minorHAnsi" w:cstheme="minorHAnsi"/>
        </w:rPr>
        <w:t xml:space="preserve">Authors may request a waiver. If </w:t>
      </w:r>
      <w:r w:rsidR="00580C16">
        <w:rPr>
          <w:rFonts w:asciiTheme="minorHAnsi" w:hAnsiTheme="minorHAnsi" w:cstheme="minorHAnsi"/>
        </w:rPr>
        <w:t xml:space="preserve">the request is </w:t>
      </w:r>
      <w:r w:rsidRPr="00C40990">
        <w:rPr>
          <w:rFonts w:asciiTheme="minorHAnsi" w:hAnsiTheme="minorHAnsi" w:cstheme="minorHAnsi"/>
        </w:rPr>
        <w:t>approved publications should still be submitted to WIRE but they will not be made visible.</w:t>
      </w:r>
      <w:r w:rsidR="007C080D" w:rsidRPr="00C40990">
        <w:rPr>
          <w:rFonts w:asciiTheme="minorHAnsi" w:hAnsiTheme="minorHAnsi" w:cstheme="minorHAnsi"/>
        </w:rPr>
        <w:t xml:space="preserve"> </w:t>
      </w:r>
      <w:r w:rsidR="00580C16">
        <w:rPr>
          <w:rFonts w:asciiTheme="minorHAnsi" w:hAnsiTheme="minorHAnsi" w:cstheme="minorHAnsi"/>
        </w:rPr>
        <w:t>T</w:t>
      </w:r>
      <w:r w:rsidR="00580C16" w:rsidRPr="00C40990">
        <w:rPr>
          <w:rFonts w:asciiTheme="minorHAnsi" w:hAnsiTheme="minorHAnsi" w:cstheme="minorHAnsi"/>
        </w:rPr>
        <w:t>he author must supply a reference and summary of the text to be made available open access within WIRE.</w:t>
      </w:r>
      <w:r w:rsidR="00580C16">
        <w:rPr>
          <w:rFonts w:asciiTheme="minorHAnsi" w:hAnsiTheme="minorHAnsi" w:cstheme="minorHAnsi"/>
        </w:rPr>
        <w:t xml:space="preserve"> </w:t>
      </w:r>
      <w:r w:rsidR="007C080D" w:rsidRPr="00C40990">
        <w:rPr>
          <w:rFonts w:asciiTheme="minorHAnsi" w:hAnsiTheme="minorHAnsi" w:cstheme="minorHAnsi"/>
        </w:rPr>
        <w:t>This applies where academic outputs are deemed suitable for commercial exploitation, where individual or institutional, royalties or revenues legally accrue from such outputs</w:t>
      </w:r>
      <w:r w:rsidR="001F5F95" w:rsidRPr="00C40990">
        <w:rPr>
          <w:rFonts w:asciiTheme="minorHAnsi" w:hAnsiTheme="minorHAnsi" w:cstheme="minorHAnsi"/>
        </w:rPr>
        <w:t xml:space="preserve">. </w:t>
      </w:r>
    </w:p>
    <w:p w:rsidR="00836093" w:rsidRDefault="00836093" w:rsidP="00836093">
      <w:pPr>
        <w:jc w:val="both"/>
      </w:pPr>
    </w:p>
    <w:p w:rsidR="00836093" w:rsidRPr="00C40990" w:rsidRDefault="00836093" w:rsidP="00836093">
      <w:pPr>
        <w:jc w:val="both"/>
        <w:rPr>
          <w:rFonts w:asciiTheme="minorHAnsi" w:hAnsiTheme="minorHAnsi" w:cstheme="minorHAnsi"/>
        </w:rPr>
      </w:pPr>
      <w:r w:rsidRPr="00C40990">
        <w:rPr>
          <w:rFonts w:asciiTheme="minorHAnsi" w:hAnsiTheme="minorHAnsi" w:cstheme="minorHAnsi"/>
        </w:rPr>
        <w:t>This statement applies to:</w:t>
      </w:r>
    </w:p>
    <w:p w:rsidR="00836093" w:rsidRPr="00C40990" w:rsidRDefault="00836093" w:rsidP="0083609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40990">
        <w:rPr>
          <w:rFonts w:asciiTheme="minorHAnsi" w:hAnsiTheme="minorHAnsi" w:cstheme="minorHAnsi"/>
        </w:rPr>
        <w:t>All members of staff employed by the University of Wolverhampton;</w:t>
      </w:r>
    </w:p>
    <w:p w:rsidR="00836093" w:rsidRPr="00C40990" w:rsidRDefault="00836093" w:rsidP="0083609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40990">
        <w:rPr>
          <w:rFonts w:asciiTheme="minorHAnsi" w:hAnsiTheme="minorHAnsi" w:cstheme="minorHAnsi"/>
        </w:rPr>
        <w:t>All PhD students submitting their doctoral thesis.</w:t>
      </w:r>
    </w:p>
    <w:p w:rsidR="001F5F95" w:rsidRDefault="001F5F95" w:rsidP="001F5F95">
      <w:pPr>
        <w:jc w:val="both"/>
      </w:pPr>
    </w:p>
    <w:p w:rsidR="001F5F95" w:rsidRPr="00C40990" w:rsidRDefault="00580C16" w:rsidP="001F5F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mandate will ensure that</w:t>
      </w:r>
      <w:r w:rsidR="001F5F95" w:rsidRPr="00C40990">
        <w:rPr>
          <w:rFonts w:asciiTheme="minorHAnsi" w:hAnsiTheme="minorHAnsi" w:cstheme="minorHAnsi"/>
        </w:rPr>
        <w:t xml:space="preserve"> WIRE will become the official record of the University’s research publications; all publication lists required for administration or promotion will be generated from this source. It will be used in future to respond to </w:t>
      </w:r>
      <w:r w:rsidR="001F5F95" w:rsidRPr="00C40990">
        <w:rPr>
          <w:rFonts w:asciiTheme="minorHAnsi" w:hAnsiTheme="minorHAnsi" w:cstheme="minorHAnsi"/>
        </w:rPr>
        <w:lastRenderedPageBreak/>
        <w:t>bibliometric research assessments with reduced input and effort from staff. It will also support the University’s appraisal process with publication data.</w:t>
      </w:r>
    </w:p>
    <w:p w:rsidR="00F27145" w:rsidRDefault="00305024" w:rsidP="00836093">
      <w:pPr>
        <w:jc w:val="both"/>
      </w:pPr>
      <w:r>
        <w:tab/>
      </w:r>
      <w:r>
        <w:tab/>
      </w:r>
      <w:r>
        <w:tab/>
        <w:t>--------------------------------------------------</w:t>
      </w:r>
    </w:p>
    <w:p w:rsidR="00305024" w:rsidRDefault="00305024" w:rsidP="00836093">
      <w:pPr>
        <w:jc w:val="both"/>
      </w:pPr>
    </w:p>
    <w:p w:rsidR="00F27145" w:rsidRPr="00C40990" w:rsidRDefault="00F27145" w:rsidP="00836093">
      <w:pPr>
        <w:jc w:val="both"/>
        <w:rPr>
          <w:rFonts w:asciiTheme="minorHAnsi" w:hAnsiTheme="minorHAnsi" w:cstheme="minorHAnsi"/>
        </w:rPr>
      </w:pPr>
      <w:r w:rsidRPr="00C40990">
        <w:rPr>
          <w:rFonts w:asciiTheme="minorHAnsi" w:hAnsiTheme="minorHAnsi" w:cstheme="minorHAnsi"/>
        </w:rPr>
        <w:t>The following policy statements are based on the recommended options for OA compliance given in the Directory of Open Access Repositories (</w:t>
      </w:r>
      <w:proofErr w:type="spellStart"/>
      <w:r w:rsidRPr="00C40990">
        <w:rPr>
          <w:rFonts w:asciiTheme="minorHAnsi" w:hAnsiTheme="minorHAnsi" w:cstheme="minorHAnsi"/>
        </w:rPr>
        <w:t>OpenDOAR</w:t>
      </w:r>
      <w:proofErr w:type="spellEnd"/>
      <w:r w:rsidRPr="00C40990">
        <w:rPr>
          <w:rFonts w:asciiTheme="minorHAnsi" w:hAnsiTheme="minorHAnsi" w:cstheme="minorHAnsi"/>
        </w:rPr>
        <w:t>) policy tool (</w:t>
      </w:r>
      <w:hyperlink r:id="rId10" w:history="1">
        <w:r w:rsidRPr="00C40990">
          <w:rPr>
            <w:rStyle w:val="Hyperlink"/>
            <w:rFonts w:asciiTheme="minorHAnsi" w:hAnsiTheme="minorHAnsi" w:cstheme="minorHAnsi"/>
          </w:rPr>
          <w:t>http://www.opendoar.org/tools/en/policies.php</w:t>
        </w:r>
      </w:hyperlink>
      <w:r w:rsidRPr="00C40990">
        <w:rPr>
          <w:rFonts w:asciiTheme="minorHAnsi" w:hAnsiTheme="minorHAnsi" w:cstheme="minorHAnsi"/>
        </w:rPr>
        <w:t xml:space="preserve">). </w:t>
      </w:r>
    </w:p>
    <w:p w:rsidR="00305024" w:rsidRDefault="00305024" w:rsidP="00836093">
      <w:pPr>
        <w:jc w:val="both"/>
      </w:pPr>
    </w:p>
    <w:p w:rsidR="00C40990" w:rsidRPr="00C40990" w:rsidRDefault="00C40990" w:rsidP="00C40990">
      <w:pPr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b/>
          <w:bCs/>
          <w:lang w:eastAsia="zh-CN"/>
        </w:rPr>
        <w:t>Metadata Policy</w:t>
      </w:r>
      <w:r w:rsidRPr="00C40990">
        <w:rPr>
          <w:rFonts w:asciiTheme="minorHAnsi" w:eastAsia="SimSun" w:hAnsiTheme="minorHAnsi" w:cstheme="minorHAnsi"/>
          <w:lang w:eastAsia="zh-CN"/>
        </w:rPr>
        <w:t xml:space="preserve"> for information describing items in the repository</w:t>
      </w:r>
    </w:p>
    <w:p w:rsidR="00C40990" w:rsidRPr="00C40990" w:rsidRDefault="00C40990" w:rsidP="00C40990">
      <w:pPr>
        <w:numPr>
          <w:ilvl w:val="0"/>
          <w:numId w:val="13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Anyone may access the metadata free of charge. </w:t>
      </w:r>
    </w:p>
    <w:p w:rsidR="00C40990" w:rsidRPr="00C40990" w:rsidRDefault="00C40990" w:rsidP="00C40990">
      <w:pPr>
        <w:numPr>
          <w:ilvl w:val="0"/>
          <w:numId w:val="13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The metadata may be re-used in any medium without prior permission for not-for-profit purposes provided the OAI Identifier or a link to the original metadata record is given. </w:t>
      </w:r>
    </w:p>
    <w:p w:rsidR="00C40990" w:rsidRPr="00C40990" w:rsidRDefault="00C40990" w:rsidP="00C40990">
      <w:pPr>
        <w:numPr>
          <w:ilvl w:val="0"/>
          <w:numId w:val="13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>The metadata must not be re-used in any medium for commercial purposes without formal permission.</w:t>
      </w:r>
    </w:p>
    <w:p w:rsidR="00C40990" w:rsidRPr="00C40990" w:rsidRDefault="00C40990" w:rsidP="00C40990">
      <w:p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b/>
          <w:bCs/>
          <w:lang w:eastAsia="zh-CN"/>
        </w:rPr>
        <w:t>Data Policy</w:t>
      </w:r>
      <w:r w:rsidRPr="00C40990">
        <w:rPr>
          <w:rFonts w:asciiTheme="minorHAnsi" w:eastAsia="SimSun" w:hAnsiTheme="minorHAnsi" w:cstheme="minorHAnsi"/>
          <w:lang w:eastAsia="zh-CN"/>
        </w:rPr>
        <w:t xml:space="preserve"> for full-text and other full data items</w:t>
      </w:r>
    </w:p>
    <w:p w:rsidR="00C40990" w:rsidRPr="00C40990" w:rsidRDefault="00C40990" w:rsidP="00C40990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Anyone may access full items free of charge. </w:t>
      </w:r>
    </w:p>
    <w:p w:rsidR="00C40990" w:rsidRPr="00C40990" w:rsidRDefault="00C40990" w:rsidP="00C40990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Copies of full items can be: </w:t>
      </w:r>
    </w:p>
    <w:p w:rsidR="00C40990" w:rsidRPr="00C40990" w:rsidRDefault="00C40990" w:rsidP="00C40990">
      <w:pPr>
        <w:numPr>
          <w:ilvl w:val="1"/>
          <w:numId w:val="14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reproduced, and displayed or performed in any format or medium </w:t>
      </w:r>
    </w:p>
    <w:p w:rsidR="00C40990" w:rsidRPr="00C40990" w:rsidRDefault="00C40990" w:rsidP="00C40990">
      <w:pPr>
        <w:numPr>
          <w:ilvl w:val="1"/>
          <w:numId w:val="14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proofErr w:type="gramStart"/>
      <w:r w:rsidRPr="00C40990">
        <w:rPr>
          <w:rFonts w:asciiTheme="minorHAnsi" w:eastAsia="SimSun" w:hAnsiTheme="minorHAnsi" w:cstheme="minorHAnsi"/>
          <w:lang w:eastAsia="zh-CN"/>
        </w:rPr>
        <w:t>for</w:t>
      </w:r>
      <w:proofErr w:type="gramEnd"/>
      <w:r w:rsidRPr="00C40990">
        <w:rPr>
          <w:rFonts w:asciiTheme="minorHAnsi" w:eastAsia="SimSun" w:hAnsiTheme="minorHAnsi" w:cstheme="minorHAnsi"/>
          <w:lang w:eastAsia="zh-CN"/>
        </w:rPr>
        <w:t xml:space="preserve"> personal research or study, educational, or not-for-profit purposes without prior permission or charge. </w:t>
      </w:r>
    </w:p>
    <w:p w:rsidR="00C40990" w:rsidRPr="00C40990" w:rsidRDefault="00C40990" w:rsidP="00C40990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>Full items must not be sold commercially in any format or medium without formal permission of the copyright holders</w:t>
      </w:r>
    </w:p>
    <w:p w:rsidR="00C40990" w:rsidRPr="00C40990" w:rsidRDefault="00C40990" w:rsidP="00C40990">
      <w:p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b/>
          <w:bCs/>
          <w:lang w:eastAsia="zh-CN"/>
        </w:rPr>
        <w:t>Content Policy</w:t>
      </w:r>
      <w:r w:rsidRPr="00C40990">
        <w:rPr>
          <w:rFonts w:asciiTheme="minorHAnsi" w:eastAsia="SimSun" w:hAnsiTheme="minorHAnsi" w:cstheme="minorHAnsi"/>
          <w:lang w:eastAsia="zh-CN"/>
        </w:rPr>
        <w:t xml:space="preserve"> for types of document and data set held</w:t>
      </w:r>
    </w:p>
    <w:p w:rsidR="00C40990" w:rsidRPr="00C40990" w:rsidRDefault="00C40990" w:rsidP="00C40990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WIRE is an institutional repository. </w:t>
      </w:r>
    </w:p>
    <w:p w:rsidR="00C40990" w:rsidRPr="00C40990" w:rsidRDefault="00C40990" w:rsidP="00C40990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The repository is restricted to: </w:t>
      </w:r>
    </w:p>
    <w:p w:rsidR="00C40990" w:rsidRPr="00C40990" w:rsidRDefault="00C40990" w:rsidP="00C40990">
      <w:pPr>
        <w:numPr>
          <w:ilvl w:val="1"/>
          <w:numId w:val="15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>Research papers (post-prints only)</w:t>
      </w:r>
    </w:p>
    <w:p w:rsidR="00C40990" w:rsidRPr="00C40990" w:rsidRDefault="00C40990" w:rsidP="00C40990">
      <w:pPr>
        <w:numPr>
          <w:ilvl w:val="1"/>
          <w:numId w:val="15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Bibliographic references </w:t>
      </w:r>
    </w:p>
    <w:p w:rsidR="00C40990" w:rsidRPr="00C40990" w:rsidRDefault="00C40990" w:rsidP="00C40990">
      <w:pPr>
        <w:numPr>
          <w:ilvl w:val="1"/>
          <w:numId w:val="15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Theses and dissertations </w:t>
      </w:r>
    </w:p>
    <w:p w:rsidR="00C40990" w:rsidRPr="00C40990" w:rsidRDefault="00C40990" w:rsidP="00C40990">
      <w:pPr>
        <w:numPr>
          <w:ilvl w:val="1"/>
          <w:numId w:val="15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>Books, chapters and sections</w:t>
      </w:r>
    </w:p>
    <w:p w:rsidR="00C40990" w:rsidRPr="00C40990" w:rsidRDefault="00C40990" w:rsidP="00C40990">
      <w:pPr>
        <w:numPr>
          <w:ilvl w:val="1"/>
          <w:numId w:val="15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Images and non-text material </w:t>
      </w:r>
    </w:p>
    <w:p w:rsidR="00C40990" w:rsidRPr="00C40990" w:rsidRDefault="00C40990" w:rsidP="00C40990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Papers may include: </w:t>
      </w:r>
    </w:p>
    <w:p w:rsidR="00C40990" w:rsidRPr="00C40990" w:rsidRDefault="00C40990" w:rsidP="00C40990">
      <w:pPr>
        <w:numPr>
          <w:ilvl w:val="1"/>
          <w:numId w:val="15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final peer-reviewed drafts (post-prints) </w:t>
      </w:r>
    </w:p>
    <w:p w:rsidR="00C40990" w:rsidRPr="00C40990" w:rsidRDefault="00C40990" w:rsidP="00C40990">
      <w:pPr>
        <w:numPr>
          <w:ilvl w:val="1"/>
          <w:numId w:val="15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published versions </w:t>
      </w:r>
    </w:p>
    <w:p w:rsidR="00C40990" w:rsidRPr="00C40990" w:rsidRDefault="00C40990" w:rsidP="00C40990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Principal Language: English </w:t>
      </w:r>
    </w:p>
    <w:p w:rsidR="00C40990" w:rsidRPr="00C40990" w:rsidRDefault="00C40990" w:rsidP="00C40990">
      <w:p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b/>
          <w:bCs/>
          <w:lang w:eastAsia="zh-CN"/>
        </w:rPr>
        <w:t>Submission Policy</w:t>
      </w:r>
      <w:r w:rsidRPr="00C40990">
        <w:rPr>
          <w:rFonts w:asciiTheme="minorHAnsi" w:eastAsia="SimSun" w:hAnsiTheme="minorHAnsi" w:cstheme="minorHAnsi"/>
          <w:lang w:eastAsia="zh-CN"/>
        </w:rPr>
        <w:t xml:space="preserve"> concerning depositors, quality and copyright</w:t>
      </w:r>
    </w:p>
    <w:p w:rsidR="00C40990" w:rsidRPr="00C40990" w:rsidRDefault="00C40990" w:rsidP="00C40990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Items may only be deposited by accredited members of the institution, or their delegated agents. </w:t>
      </w:r>
    </w:p>
    <w:p w:rsidR="00C40990" w:rsidRPr="00C40990" w:rsidRDefault="00C40990" w:rsidP="00C40990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Authors may only submit their own work for archiving. </w:t>
      </w:r>
    </w:p>
    <w:p w:rsidR="00C40990" w:rsidRPr="00C40990" w:rsidRDefault="00C40990" w:rsidP="00C40990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lastRenderedPageBreak/>
        <w:t xml:space="preserve">The administrator only vets items for the eligibility of authors/depositors, relevance to the scope of the repository, valid layout and format, and the exclusion of spam. </w:t>
      </w:r>
    </w:p>
    <w:p w:rsidR="00C40990" w:rsidRPr="00C40990" w:rsidRDefault="00C40990" w:rsidP="00C40990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The validity and authenticity of the content of submissions is the sole responsibility of the depositor. </w:t>
      </w:r>
    </w:p>
    <w:p w:rsidR="00C40990" w:rsidRPr="00C40990" w:rsidRDefault="00C40990" w:rsidP="00C40990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Full text items may not be deposited until any publishers' or funders' embargo period has expired. </w:t>
      </w:r>
    </w:p>
    <w:p w:rsidR="00C40990" w:rsidRPr="00C40990" w:rsidRDefault="00C40990" w:rsidP="00C40990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>If the repository receives proof of copyright violation, the relevant item will be removed immediately.</w:t>
      </w:r>
    </w:p>
    <w:p w:rsidR="00C40990" w:rsidRPr="00C40990" w:rsidRDefault="00C40990" w:rsidP="00C40990">
      <w:pPr>
        <w:spacing w:before="100" w:beforeAutospacing="1" w:after="100" w:afterAutospacing="1" w:line="312" w:lineRule="atLeast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b/>
          <w:bCs/>
          <w:lang w:eastAsia="zh-CN"/>
        </w:rPr>
        <w:t>Preservation policy</w:t>
      </w:r>
    </w:p>
    <w:p w:rsidR="00C40990" w:rsidRPr="00C40990" w:rsidRDefault="00C40990" w:rsidP="00C40990">
      <w:pPr>
        <w:autoSpaceDE w:val="0"/>
        <w:autoSpaceDN w:val="0"/>
        <w:adjustRightInd w:val="0"/>
        <w:ind w:left="720" w:hanging="360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1. </w:t>
      </w:r>
      <w:r w:rsidRPr="00C40990">
        <w:rPr>
          <w:rFonts w:asciiTheme="minorHAnsi" w:eastAsia="SimSun" w:hAnsiTheme="minorHAnsi" w:cstheme="minorHAnsi"/>
          <w:lang w:eastAsia="zh-CN"/>
        </w:rPr>
        <w:tab/>
        <w:t>WIRE will try to ensure continued readability and accessibility.</w:t>
      </w:r>
    </w:p>
    <w:p w:rsidR="00C40990" w:rsidRPr="00C40990" w:rsidRDefault="00C40990" w:rsidP="00C40990">
      <w:pPr>
        <w:autoSpaceDE w:val="0"/>
        <w:autoSpaceDN w:val="0"/>
        <w:adjustRightInd w:val="0"/>
        <w:ind w:left="720" w:hanging="360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2. </w:t>
      </w:r>
      <w:r w:rsidRPr="00C40990">
        <w:rPr>
          <w:rFonts w:asciiTheme="minorHAnsi" w:eastAsia="SimSun" w:hAnsiTheme="minorHAnsi" w:cstheme="minorHAnsi"/>
          <w:lang w:eastAsia="zh-CN"/>
        </w:rPr>
        <w:tab/>
        <w:t>WIRE regularly backs up its files according to current best practice.</w:t>
      </w:r>
    </w:p>
    <w:p w:rsidR="00C40990" w:rsidRPr="00C40990" w:rsidRDefault="00C40990" w:rsidP="00C40990">
      <w:pPr>
        <w:autoSpaceDE w:val="0"/>
        <w:autoSpaceDN w:val="0"/>
        <w:adjustRightInd w:val="0"/>
        <w:ind w:left="720" w:hanging="360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3. </w:t>
      </w:r>
      <w:r w:rsidRPr="00C40990">
        <w:rPr>
          <w:rFonts w:asciiTheme="minorHAnsi" w:eastAsia="SimSun" w:hAnsiTheme="minorHAnsi" w:cstheme="minorHAnsi"/>
          <w:lang w:eastAsia="zh-CN"/>
        </w:rPr>
        <w:tab/>
        <w:t>Items may be withdrawn at the discretion of the repository management.</w:t>
      </w:r>
    </w:p>
    <w:p w:rsidR="00C40990" w:rsidRPr="00C40990" w:rsidRDefault="00C40990" w:rsidP="00C40990">
      <w:pPr>
        <w:autoSpaceDE w:val="0"/>
        <w:autoSpaceDN w:val="0"/>
        <w:adjustRightInd w:val="0"/>
        <w:ind w:left="720" w:hanging="360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4. </w:t>
      </w:r>
      <w:r w:rsidRPr="00C40990">
        <w:rPr>
          <w:rFonts w:asciiTheme="minorHAnsi" w:eastAsia="SimSun" w:hAnsiTheme="minorHAnsi" w:cstheme="minorHAnsi"/>
          <w:lang w:eastAsia="zh-CN"/>
        </w:rPr>
        <w:tab/>
        <w:t>Acceptable reasons for withdrawal include:</w:t>
      </w:r>
    </w:p>
    <w:p w:rsidR="00C40990" w:rsidRPr="00C40990" w:rsidRDefault="00C40990" w:rsidP="00C40990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>Journal publishers' rules</w:t>
      </w:r>
    </w:p>
    <w:p w:rsidR="00C40990" w:rsidRPr="00C40990" w:rsidRDefault="00C40990" w:rsidP="00C40990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>Proven copyright violation or plagiarism</w:t>
      </w:r>
    </w:p>
    <w:p w:rsidR="00C40990" w:rsidRPr="00C40990" w:rsidRDefault="00C40990" w:rsidP="00C40990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>Legal requirements and proven violations</w:t>
      </w:r>
    </w:p>
    <w:p w:rsidR="00C40990" w:rsidRPr="00C40990" w:rsidRDefault="00C40990" w:rsidP="00C40990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>National Security</w:t>
      </w:r>
    </w:p>
    <w:p w:rsidR="00C40990" w:rsidRPr="00C40990" w:rsidRDefault="00C40990" w:rsidP="00C40990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>Falsified research</w:t>
      </w:r>
    </w:p>
    <w:p w:rsidR="00C40990" w:rsidRPr="00C40990" w:rsidRDefault="00C40990" w:rsidP="00C40990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>Obsolete file formats</w:t>
      </w:r>
    </w:p>
    <w:p w:rsidR="00C40990" w:rsidRPr="00C40990" w:rsidRDefault="00C40990" w:rsidP="00C40990">
      <w:pPr>
        <w:autoSpaceDE w:val="0"/>
        <w:autoSpaceDN w:val="0"/>
        <w:adjustRightInd w:val="0"/>
        <w:ind w:left="720" w:hanging="360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>5.</w:t>
      </w:r>
      <w:r w:rsidRPr="00C40990">
        <w:rPr>
          <w:rFonts w:asciiTheme="minorHAnsi" w:eastAsia="SimSun" w:hAnsiTheme="minorHAnsi" w:cstheme="minorHAnsi"/>
          <w:lang w:eastAsia="zh-CN"/>
        </w:rPr>
        <w:tab/>
        <w:t>Withdrawn files are deleted entirely from the database. Metadata may be retained.</w:t>
      </w:r>
    </w:p>
    <w:p w:rsidR="00C40990" w:rsidRPr="00C40990" w:rsidRDefault="00C40990" w:rsidP="00C40990">
      <w:pPr>
        <w:autoSpaceDE w:val="0"/>
        <w:autoSpaceDN w:val="0"/>
        <w:adjustRightInd w:val="0"/>
        <w:ind w:left="720" w:hanging="360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 xml:space="preserve">6. </w:t>
      </w:r>
      <w:r w:rsidRPr="00C40990">
        <w:rPr>
          <w:rFonts w:asciiTheme="minorHAnsi" w:eastAsia="SimSun" w:hAnsiTheme="minorHAnsi" w:cstheme="minorHAnsi"/>
          <w:lang w:eastAsia="zh-CN"/>
        </w:rPr>
        <w:tab/>
        <w:t>If necessary, an updated version may be deposited.</w:t>
      </w:r>
    </w:p>
    <w:p w:rsidR="00C40990" w:rsidRPr="00C40990" w:rsidRDefault="00C40990" w:rsidP="00C40990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>The earlier version may be withdrawn from public view</w:t>
      </w:r>
    </w:p>
    <w:p w:rsidR="00C40990" w:rsidRPr="00C40990" w:rsidRDefault="00C40990" w:rsidP="00C40990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>The original URL will be linked to the latest version</w:t>
      </w:r>
    </w:p>
    <w:p w:rsidR="00C40990" w:rsidRPr="00C40990" w:rsidRDefault="00C40990" w:rsidP="00C40990">
      <w:pPr>
        <w:spacing w:after="100" w:afterAutospacing="1" w:line="240" w:lineRule="atLeast"/>
        <w:ind w:left="714" w:hanging="357"/>
        <w:rPr>
          <w:rFonts w:asciiTheme="minorHAnsi" w:eastAsia="SimSun" w:hAnsiTheme="minorHAnsi" w:cstheme="minorHAnsi"/>
          <w:lang w:eastAsia="zh-CN"/>
        </w:rPr>
      </w:pPr>
      <w:r w:rsidRPr="00C40990">
        <w:rPr>
          <w:rFonts w:asciiTheme="minorHAnsi" w:eastAsia="SimSun" w:hAnsiTheme="minorHAnsi" w:cstheme="minorHAnsi"/>
          <w:lang w:eastAsia="zh-CN"/>
        </w:rPr>
        <w:t>7.</w:t>
      </w:r>
      <w:r w:rsidRPr="00C40990">
        <w:rPr>
          <w:rFonts w:asciiTheme="minorHAnsi" w:eastAsia="SimSun" w:hAnsiTheme="minorHAnsi" w:cstheme="minorHAnsi"/>
          <w:lang w:eastAsia="zh-CN"/>
        </w:rPr>
        <w:tab/>
        <w:t>Indefinite retention and preservation in WIRE is not guaranteed.</w:t>
      </w:r>
    </w:p>
    <w:p w:rsidR="00305024" w:rsidRDefault="00305024" w:rsidP="00836093">
      <w:pPr>
        <w:jc w:val="both"/>
      </w:pPr>
    </w:p>
    <w:p w:rsidR="009D44E6" w:rsidRDefault="009D44E6" w:rsidP="001D75A6">
      <w:pPr>
        <w:pStyle w:val="Default"/>
      </w:pPr>
    </w:p>
    <w:p w:rsidR="001D75A6" w:rsidRDefault="001D75A6" w:rsidP="001D75A6">
      <w:pPr>
        <w:pStyle w:val="Default"/>
      </w:pPr>
    </w:p>
    <w:sectPr w:rsidR="001D75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A6" w:rsidRDefault="001D75A6" w:rsidP="001D75A6">
      <w:r>
        <w:separator/>
      </w:r>
    </w:p>
  </w:endnote>
  <w:endnote w:type="continuationSeparator" w:id="0">
    <w:p w:rsidR="001D75A6" w:rsidRDefault="001D75A6" w:rsidP="001D75A6">
      <w:r>
        <w:continuationSeparator/>
      </w:r>
    </w:p>
  </w:endnote>
  <w:endnote w:id="1">
    <w:p w:rsidR="001D75A6" w:rsidRDefault="001D75A6">
      <w:pPr>
        <w:pStyle w:val="EndnoteText"/>
      </w:pPr>
      <w:r>
        <w:rPr>
          <w:rStyle w:val="EndnoteReference"/>
        </w:rPr>
        <w:endnoteRef/>
      </w:r>
      <w:r>
        <w:t xml:space="preserve"> University of Wolverhampton Research Sub-Strategy 2012-2017</w:t>
      </w:r>
    </w:p>
  </w:endnote>
  <w:endnote w:id="2">
    <w:p w:rsidR="009538DE" w:rsidRDefault="009538DE">
      <w:pPr>
        <w:pStyle w:val="EndnoteText"/>
      </w:pPr>
      <w:r>
        <w:rPr>
          <w:rStyle w:val="EndnoteReference"/>
        </w:rPr>
        <w:endnoteRef/>
      </w:r>
      <w:r>
        <w:t xml:space="preserve"> University of Wolverhampton Research Sub-Strategy 2012-2017</w:t>
      </w:r>
    </w:p>
  </w:endnote>
  <w:endnote w:id="3">
    <w:p w:rsidR="00515735" w:rsidRDefault="0051573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15735">
        <w:t>http://www.rcuk.ac.uk/documents/documents/RCUKOpenAccessPolicyandRevisedguidance.pdf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9E" w:rsidRDefault="00F24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9E" w:rsidRDefault="00F24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9E" w:rsidRDefault="00F24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A6" w:rsidRDefault="001D75A6" w:rsidP="001D75A6">
      <w:r>
        <w:separator/>
      </w:r>
    </w:p>
  </w:footnote>
  <w:footnote w:type="continuationSeparator" w:id="0">
    <w:p w:rsidR="001D75A6" w:rsidRDefault="001D75A6" w:rsidP="001D7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9E" w:rsidRDefault="00F24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9E" w:rsidRDefault="00F24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9E" w:rsidRDefault="00F24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abstractNum w:abstractNumId="0">
    <w:nsid w:val="01B51E62"/>
    <w:multiLevelType w:val="multilevel"/>
    <w:tmpl w:val="9C82B0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032AF"/>
    <w:multiLevelType w:val="multilevel"/>
    <w:tmpl w:val="0262BF5C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A149B"/>
    <w:multiLevelType w:val="multilevel"/>
    <w:tmpl w:val="7DC8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54D81"/>
    <w:multiLevelType w:val="hybridMultilevel"/>
    <w:tmpl w:val="3C48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805ED"/>
    <w:multiLevelType w:val="multilevel"/>
    <w:tmpl w:val="0262BF5C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8411D"/>
    <w:multiLevelType w:val="multilevel"/>
    <w:tmpl w:val="6D92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24CC5"/>
    <w:multiLevelType w:val="multilevel"/>
    <w:tmpl w:val="D948580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B0869"/>
    <w:multiLevelType w:val="hybridMultilevel"/>
    <w:tmpl w:val="AB82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226F9"/>
    <w:multiLevelType w:val="multilevel"/>
    <w:tmpl w:val="0262BF5C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C52BC"/>
    <w:multiLevelType w:val="hybridMultilevel"/>
    <w:tmpl w:val="55D4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1492F"/>
    <w:multiLevelType w:val="multilevel"/>
    <w:tmpl w:val="B8BA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C15B8"/>
    <w:multiLevelType w:val="multilevel"/>
    <w:tmpl w:val="0262BF5C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84ED7"/>
    <w:multiLevelType w:val="hybridMultilevel"/>
    <w:tmpl w:val="876470A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C7466F"/>
    <w:multiLevelType w:val="multilevel"/>
    <w:tmpl w:val="B1C69A3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85C12"/>
    <w:multiLevelType w:val="multilevel"/>
    <w:tmpl w:val="F080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1147E"/>
    <w:multiLevelType w:val="hybridMultilevel"/>
    <w:tmpl w:val="BAAAC4FC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BAD750B"/>
    <w:multiLevelType w:val="multilevel"/>
    <w:tmpl w:val="0262BF5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8B5D7B"/>
    <w:multiLevelType w:val="multilevel"/>
    <w:tmpl w:val="0F78CB4A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6"/>
  </w:num>
  <w:num w:numId="5">
    <w:abstractNumId w:val="13"/>
  </w:num>
  <w:num w:numId="6">
    <w:abstractNumId w:val="6"/>
  </w:num>
  <w:num w:numId="7">
    <w:abstractNumId w:val="17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5"/>
  </w:num>
  <w:num w:numId="15">
    <w:abstractNumId w:val="14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C2"/>
    <w:rsid w:val="001863EB"/>
    <w:rsid w:val="001D75A6"/>
    <w:rsid w:val="001F5F95"/>
    <w:rsid w:val="00225349"/>
    <w:rsid w:val="00305024"/>
    <w:rsid w:val="00391F05"/>
    <w:rsid w:val="00414119"/>
    <w:rsid w:val="00446400"/>
    <w:rsid w:val="005129EA"/>
    <w:rsid w:val="00515735"/>
    <w:rsid w:val="00580C16"/>
    <w:rsid w:val="007C080D"/>
    <w:rsid w:val="00836093"/>
    <w:rsid w:val="008F3FC2"/>
    <w:rsid w:val="009538DE"/>
    <w:rsid w:val="009924CA"/>
    <w:rsid w:val="009D44E6"/>
    <w:rsid w:val="00B97964"/>
    <w:rsid w:val="00C40990"/>
    <w:rsid w:val="00C71460"/>
    <w:rsid w:val="00CB03FE"/>
    <w:rsid w:val="00F2449E"/>
    <w:rsid w:val="00F2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3FC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1D75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D75A6"/>
    <w:rPr>
      <w:lang w:eastAsia="en-US"/>
    </w:rPr>
  </w:style>
  <w:style w:type="character" w:styleId="EndnoteReference">
    <w:name w:val="endnote reference"/>
    <w:basedOn w:val="DefaultParagraphFont"/>
    <w:rsid w:val="001D75A6"/>
    <w:rPr>
      <w:vertAlign w:val="superscript"/>
    </w:rPr>
  </w:style>
  <w:style w:type="paragraph" w:customStyle="1" w:styleId="Default">
    <w:name w:val="Default"/>
    <w:rsid w:val="001D7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093"/>
    <w:pPr>
      <w:ind w:left="720"/>
      <w:contextualSpacing/>
    </w:pPr>
  </w:style>
  <w:style w:type="paragraph" w:styleId="NormalWeb">
    <w:name w:val="Normal (Web)"/>
    <w:basedOn w:val="Normal"/>
    <w:rsid w:val="001863E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F24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44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24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449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3FC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1D75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D75A6"/>
    <w:rPr>
      <w:lang w:eastAsia="en-US"/>
    </w:rPr>
  </w:style>
  <w:style w:type="character" w:styleId="EndnoteReference">
    <w:name w:val="endnote reference"/>
    <w:basedOn w:val="DefaultParagraphFont"/>
    <w:rsid w:val="001D75A6"/>
    <w:rPr>
      <w:vertAlign w:val="superscript"/>
    </w:rPr>
  </w:style>
  <w:style w:type="paragraph" w:customStyle="1" w:styleId="Default">
    <w:name w:val="Default"/>
    <w:rsid w:val="001D7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093"/>
    <w:pPr>
      <w:ind w:left="720"/>
      <w:contextualSpacing/>
    </w:pPr>
  </w:style>
  <w:style w:type="paragraph" w:styleId="NormalWeb">
    <w:name w:val="Normal (Web)"/>
    <w:basedOn w:val="Normal"/>
    <w:rsid w:val="001863E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F24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44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24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44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2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pendoar.org/tools/en/policie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lv.openrepository.com/wl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21F0-FB1F-4DA0-A1CE-BCEB148D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5793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Dowd, John</dc:creator>
  <cp:lastModifiedBy>Williams, Mark</cp:lastModifiedBy>
  <cp:revision>2</cp:revision>
  <dcterms:created xsi:type="dcterms:W3CDTF">2015-04-20T10:19:00Z</dcterms:created>
  <dcterms:modified xsi:type="dcterms:W3CDTF">2015-04-20T10:19:00Z</dcterms:modified>
</cp:coreProperties>
</file>